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91" w:rsidRPr="00B132DB" w:rsidRDefault="00066B9F">
      <w:pPr>
        <w:rPr>
          <w:rFonts w:ascii="Palatino Linotype" w:hAnsi="Palatino Linotype"/>
          <w:b/>
          <w:sz w:val="20"/>
          <w:szCs w:val="20"/>
        </w:rPr>
      </w:pPr>
      <w:r w:rsidRPr="00B74402">
        <w:rPr>
          <w:rFonts w:ascii="Palatino Linotype" w:hAnsi="Palatino Linotype"/>
          <w:b/>
          <w:sz w:val="36"/>
          <w:szCs w:val="36"/>
        </w:rPr>
        <w:t xml:space="preserve">Hobby Lobby, Women’s Rights, and a Slippery Slope To </w:t>
      </w:r>
      <w:proofErr w:type="gramStart"/>
      <w:r w:rsidRPr="00B74402">
        <w:rPr>
          <w:rFonts w:ascii="Palatino Linotype" w:hAnsi="Palatino Linotype"/>
          <w:b/>
          <w:sz w:val="36"/>
          <w:szCs w:val="36"/>
        </w:rPr>
        <w:t>Theocracy</w:t>
      </w:r>
      <w:r w:rsidR="00B132DB">
        <w:rPr>
          <w:rFonts w:ascii="Palatino Linotype" w:hAnsi="Palatino Linotype"/>
          <w:b/>
          <w:sz w:val="36"/>
          <w:szCs w:val="36"/>
        </w:rPr>
        <w:t xml:space="preserve">  </w:t>
      </w:r>
      <w:proofErr w:type="gramEnd"/>
      <w:r w:rsidR="00CA46DE">
        <w:rPr>
          <w:rFonts w:ascii="Palatino Linotype" w:hAnsi="Palatino Linotype"/>
          <w:b/>
          <w:sz w:val="20"/>
          <w:szCs w:val="20"/>
        </w:rPr>
        <w:fldChar w:fldCharType="begin"/>
      </w:r>
      <w:r w:rsidR="00B132DB">
        <w:rPr>
          <w:rFonts w:ascii="Palatino Linotype" w:hAnsi="Palatino Linotype"/>
          <w:b/>
          <w:sz w:val="20"/>
          <w:szCs w:val="20"/>
        </w:rPr>
        <w:instrText xml:space="preserve"> HYPERLINK "http://www.supremecourt.gov/opinions/13pdf/13-354_olp1.pdf" </w:instrText>
      </w:r>
      <w:r w:rsidR="00CA46DE">
        <w:rPr>
          <w:rFonts w:ascii="Palatino Linotype" w:hAnsi="Palatino Linotype"/>
          <w:b/>
          <w:sz w:val="20"/>
          <w:szCs w:val="20"/>
        </w:rPr>
        <w:fldChar w:fldCharType="separate"/>
      </w:r>
      <w:r w:rsidR="00B132DB" w:rsidRPr="00B132DB">
        <w:rPr>
          <w:rStyle w:val="Hyperlink"/>
          <w:rFonts w:ascii="Palatino Linotype" w:hAnsi="Palatino Linotype"/>
          <w:b/>
          <w:sz w:val="20"/>
          <w:szCs w:val="20"/>
        </w:rPr>
        <w:t>(Read the full decision).</w:t>
      </w:r>
      <w:r w:rsidR="00CA46DE">
        <w:rPr>
          <w:rFonts w:ascii="Palatino Linotype" w:hAnsi="Palatino Linotype"/>
          <w:b/>
          <w:sz w:val="20"/>
          <w:szCs w:val="20"/>
        </w:rPr>
        <w:fldChar w:fldCharType="end"/>
      </w:r>
      <w:r w:rsidR="00B132DB">
        <w:rPr>
          <w:rFonts w:ascii="Palatino Linotype" w:hAnsi="Palatino Linotype"/>
          <w:b/>
          <w:sz w:val="20"/>
          <w:szCs w:val="20"/>
        </w:rPr>
        <w:t xml:space="preserve"> </w:t>
      </w:r>
    </w:p>
    <w:p w:rsidR="00066B9F" w:rsidRPr="00B74402" w:rsidRDefault="00066B9F">
      <w:pPr>
        <w:rPr>
          <w:rFonts w:ascii="Palatino Linotype" w:hAnsi="Palatino Linotype"/>
        </w:rPr>
      </w:pPr>
      <w:r w:rsidRPr="00B74402">
        <w:rPr>
          <w:rFonts w:ascii="Palatino Linotype" w:hAnsi="Palatino Linotype"/>
        </w:rPr>
        <w:t>By</w:t>
      </w:r>
      <w:r w:rsidR="00B74402">
        <w:rPr>
          <w:rFonts w:ascii="Palatino Linotype" w:hAnsi="Palatino Linotype"/>
        </w:rPr>
        <w:t xml:space="preserve"> Anne L. Schneider, PhD</w:t>
      </w:r>
    </w:p>
    <w:p w:rsidR="00B132DB" w:rsidRDefault="00B132DB">
      <w:pPr>
        <w:rPr>
          <w:rFonts w:ascii="Palatino Linotype" w:hAnsi="Palatino Linotype"/>
        </w:rPr>
      </w:pPr>
    </w:p>
    <w:p w:rsidR="00B132DB" w:rsidRDefault="00B132DB">
      <w:pPr>
        <w:rPr>
          <w:rFonts w:ascii="Palatino Linotype" w:hAnsi="Palatino Linotype" w:cs="Arial"/>
          <w:iCs/>
          <w:color w:val="333333"/>
        </w:rPr>
      </w:pPr>
      <w:r>
        <w:rPr>
          <w:rFonts w:ascii="Palatino Linotype" w:hAnsi="Palatino Linotype"/>
          <w:noProof/>
        </w:rPr>
        <w:drawing>
          <wp:anchor distT="0" distB="0" distL="114300" distR="114300" simplePos="0" relativeHeight="251659264" behindDoc="1" locked="0" layoutInCell="1" allowOverlap="1">
            <wp:simplePos x="0" y="0"/>
            <wp:positionH relativeFrom="column">
              <wp:posOffset>-161925</wp:posOffset>
            </wp:positionH>
            <wp:positionV relativeFrom="paragraph">
              <wp:posOffset>334010</wp:posOffset>
            </wp:positionV>
            <wp:extent cx="933450" cy="914400"/>
            <wp:effectExtent l="19050" t="0" r="0" b="0"/>
            <wp:wrapTight wrapText="bothSides">
              <wp:wrapPolygon edited="0">
                <wp:start x="17192" y="0"/>
                <wp:lineTo x="7494" y="450"/>
                <wp:lineTo x="3527" y="2700"/>
                <wp:lineTo x="4408" y="7200"/>
                <wp:lineTo x="-441" y="13050"/>
                <wp:lineTo x="-441" y="14400"/>
                <wp:lineTo x="8376" y="14400"/>
                <wp:lineTo x="2645" y="16200"/>
                <wp:lineTo x="3967" y="19350"/>
                <wp:lineTo x="18955" y="21150"/>
                <wp:lineTo x="21600" y="21150"/>
                <wp:lineTo x="21600" y="20700"/>
                <wp:lineTo x="14547" y="14400"/>
                <wp:lineTo x="16310" y="7200"/>
                <wp:lineTo x="19837" y="450"/>
                <wp:lineTo x="19837" y="0"/>
                <wp:lineTo x="17192" y="0"/>
              </wp:wrapPolygon>
            </wp:wrapTight>
            <wp:docPr id="7" name="Picture 3" descr="C:\Users\frys\AppData\Local\Microsoft\Windows\Temporary Internet Files\Content.IE5\FZB6ZJLW\MC9003835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ys\AppData\Local\Microsoft\Windows\Temporary Internet Files\Content.IE5\FZB6ZJLW\MC900383584[1].wmf"/>
                    <pic:cNvPicPr>
                      <a:picLocks noChangeAspect="1" noChangeArrowheads="1"/>
                    </pic:cNvPicPr>
                  </pic:nvPicPr>
                  <pic:blipFill>
                    <a:blip r:embed="rId8" cstate="print"/>
                    <a:srcRect/>
                    <a:stretch>
                      <a:fillRect/>
                    </a:stretch>
                  </pic:blipFill>
                  <pic:spPr bwMode="auto">
                    <a:xfrm>
                      <a:off x="0" y="0"/>
                      <a:ext cx="933450" cy="914400"/>
                    </a:xfrm>
                    <a:prstGeom prst="rect">
                      <a:avLst/>
                    </a:prstGeom>
                    <a:noFill/>
                    <a:ln w="9525">
                      <a:noFill/>
                      <a:miter lim="800000"/>
                      <a:headEnd/>
                      <a:tailEnd/>
                    </a:ln>
                  </pic:spPr>
                </pic:pic>
              </a:graphicData>
            </a:graphic>
          </wp:anchor>
        </w:drawing>
      </w:r>
      <w:r w:rsidR="00B34234" w:rsidRPr="00B74402">
        <w:rPr>
          <w:rFonts w:ascii="Palatino Linotype" w:hAnsi="Palatino Linotype"/>
        </w:rPr>
        <w:tab/>
        <w:t>Religious freedom is a fundamentally important value in American democracy, but the Hobby Lobby decision (</w:t>
      </w:r>
      <w:r w:rsidR="00B34234" w:rsidRPr="00B74402">
        <w:rPr>
          <w:rFonts w:ascii="Palatino Linotype" w:hAnsi="Palatino Linotype"/>
          <w:i/>
        </w:rPr>
        <w:t xml:space="preserve">Burwell </w:t>
      </w:r>
      <w:r w:rsidR="00B34234" w:rsidRPr="00B74402">
        <w:rPr>
          <w:rFonts w:ascii="Palatino Linotype" w:hAnsi="Palatino Linotype" w:cs="Arial"/>
          <w:i/>
          <w:iCs/>
          <w:color w:val="333333"/>
        </w:rPr>
        <w:t xml:space="preserve">v. Hobby Lobby Stores </w:t>
      </w:r>
      <w:r w:rsidR="00B34234" w:rsidRPr="00B74402">
        <w:rPr>
          <w:rFonts w:ascii="Palatino Linotype" w:hAnsi="Palatino Linotype" w:cs="Arial"/>
          <w:color w:val="333333"/>
        </w:rPr>
        <w:t xml:space="preserve">and </w:t>
      </w:r>
      <w:r w:rsidR="00B34234" w:rsidRPr="00B74402">
        <w:rPr>
          <w:rFonts w:ascii="Palatino Linotype" w:hAnsi="Palatino Linotype" w:cs="Arial"/>
          <w:i/>
          <w:iCs/>
          <w:color w:val="333333"/>
        </w:rPr>
        <w:t>Conestoga Wood Specialties v. Burwell)</w:t>
      </w:r>
      <w:r w:rsidR="00B34234" w:rsidRPr="00B74402">
        <w:rPr>
          <w:rFonts w:ascii="Palatino Linotype" w:hAnsi="Palatino Linotype" w:cs="Arial"/>
          <w:iCs/>
          <w:color w:val="333333"/>
        </w:rPr>
        <w:t xml:space="preserve"> upsets the delicate balance between free expression of religion and the fundamental rights of all persons to equal treatment before the law.  </w:t>
      </w:r>
    </w:p>
    <w:p w:rsidR="00B34234" w:rsidRPr="00B74402" w:rsidRDefault="00B132DB">
      <w:pPr>
        <w:rPr>
          <w:rFonts w:ascii="Palatino Linotype" w:hAnsi="Palatino Linotype" w:cs="Arial"/>
          <w:iCs/>
          <w:color w:val="333333"/>
        </w:rPr>
      </w:pPr>
      <w:r>
        <w:rPr>
          <w:rFonts w:ascii="Palatino Linotype" w:hAnsi="Palatino Linotype" w:cs="Arial"/>
          <w:iCs/>
          <w:color w:val="333333"/>
        </w:rPr>
        <w:t>This decision allows the owners of a corporation not only to impose their religious values on their employees, but also to deny the</w:t>
      </w:r>
      <w:r w:rsidR="00B85CA6">
        <w:rPr>
          <w:rFonts w:ascii="Palatino Linotype" w:hAnsi="Palatino Linotype" w:cs="Arial"/>
          <w:iCs/>
          <w:color w:val="333333"/>
        </w:rPr>
        <w:t>ir</w:t>
      </w:r>
      <w:r>
        <w:rPr>
          <w:rFonts w:ascii="Palatino Linotype" w:hAnsi="Palatino Linotype" w:cs="Arial"/>
          <w:iCs/>
          <w:color w:val="333333"/>
        </w:rPr>
        <w:t xml:space="preserve"> women </w:t>
      </w:r>
      <w:r w:rsidR="00B85CA6">
        <w:rPr>
          <w:rFonts w:ascii="Palatino Linotype" w:hAnsi="Palatino Linotype" w:cs="Arial"/>
          <w:iCs/>
          <w:color w:val="333333"/>
        </w:rPr>
        <w:t xml:space="preserve">employees </w:t>
      </w:r>
      <w:r>
        <w:rPr>
          <w:rFonts w:ascii="Palatino Linotype" w:hAnsi="Palatino Linotype" w:cs="Arial"/>
          <w:iCs/>
          <w:color w:val="333333"/>
        </w:rPr>
        <w:t xml:space="preserve">the full coverage for contraception they are entitled to under the Affordable Care Act.   </w:t>
      </w:r>
    </w:p>
    <w:p w:rsidR="00B85CA6" w:rsidRDefault="00B34234">
      <w:pPr>
        <w:rPr>
          <w:rFonts w:ascii="Palatino Linotype" w:hAnsi="Palatino Linotype" w:cs="Arial"/>
          <w:iCs/>
          <w:color w:val="333333"/>
        </w:rPr>
      </w:pPr>
      <w:r w:rsidRPr="00B74402">
        <w:rPr>
          <w:rFonts w:ascii="Palatino Linotype" w:hAnsi="Palatino Linotype" w:cs="Arial"/>
          <w:iCs/>
          <w:color w:val="333333"/>
        </w:rPr>
        <w:tab/>
        <w:t xml:space="preserve">When religious beliefs begin to trump the rights of others, as this decision permits, people need to engage in rational, non-ideological thinking about where democracy ends and theocracy begins. It is time for this conversation to begin.  </w:t>
      </w:r>
    </w:p>
    <w:p w:rsidR="00B34234" w:rsidRDefault="00B85CA6">
      <w:pPr>
        <w:rPr>
          <w:rFonts w:ascii="Palatino Linotype" w:hAnsi="Palatino Linotype" w:cs="Arial"/>
          <w:iCs/>
          <w:color w:val="333333"/>
        </w:rPr>
      </w:pPr>
      <w:r>
        <w:rPr>
          <w:rFonts w:ascii="Palatino Linotype" w:hAnsi="Palatino Linotype" w:cs="Arial"/>
          <w:iCs/>
          <w:color w:val="333333"/>
        </w:rPr>
        <w:tab/>
      </w:r>
      <w:r w:rsidR="00B34234" w:rsidRPr="00B74402">
        <w:rPr>
          <w:rFonts w:ascii="Palatino Linotype" w:hAnsi="Palatino Linotype" w:cs="Arial"/>
          <w:iCs/>
          <w:color w:val="333333"/>
        </w:rPr>
        <w:t>As those of us in Arizona know</w:t>
      </w:r>
      <w:proofErr w:type="gramStart"/>
      <w:r>
        <w:rPr>
          <w:rFonts w:ascii="Palatino Linotype" w:hAnsi="Palatino Linotype" w:cs="Arial"/>
          <w:iCs/>
          <w:color w:val="333333"/>
        </w:rPr>
        <w:t xml:space="preserve">, </w:t>
      </w:r>
      <w:r w:rsidR="00B34234" w:rsidRPr="00B74402">
        <w:rPr>
          <w:rFonts w:ascii="Palatino Linotype" w:hAnsi="Palatino Linotype" w:cs="Arial"/>
          <w:iCs/>
          <w:color w:val="333333"/>
        </w:rPr>
        <w:t xml:space="preserve"> the</w:t>
      </w:r>
      <w:r w:rsidR="00B132DB">
        <w:rPr>
          <w:rFonts w:ascii="Palatino Linotype" w:hAnsi="Palatino Linotype" w:cs="Arial"/>
          <w:iCs/>
          <w:color w:val="333333"/>
        </w:rPr>
        <w:t>re</w:t>
      </w:r>
      <w:proofErr w:type="gramEnd"/>
      <w:r w:rsidR="00B132DB">
        <w:rPr>
          <w:rFonts w:ascii="Palatino Linotype" w:hAnsi="Palatino Linotype" w:cs="Arial"/>
          <w:iCs/>
          <w:color w:val="333333"/>
        </w:rPr>
        <w:t xml:space="preserve"> are those who would use the </w:t>
      </w:r>
      <w:r w:rsidR="00B34234" w:rsidRPr="00B74402">
        <w:rPr>
          <w:rFonts w:ascii="Palatino Linotype" w:hAnsi="Palatino Linotype" w:cs="Arial"/>
          <w:iCs/>
          <w:color w:val="333333"/>
        </w:rPr>
        <w:t xml:space="preserve">Religious Freedom and Restoration Act (RFRA) </w:t>
      </w:r>
      <w:r w:rsidR="00B132DB">
        <w:rPr>
          <w:rFonts w:ascii="Palatino Linotype" w:hAnsi="Palatino Linotype" w:cs="Arial"/>
          <w:iCs/>
          <w:color w:val="333333"/>
        </w:rPr>
        <w:t xml:space="preserve">to permit discrimination on religious grounds by businesses as well as individuals, even though this was not the intent of the act itself. </w:t>
      </w:r>
    </w:p>
    <w:p w:rsidR="00B132DB" w:rsidRPr="00B74402" w:rsidRDefault="00B132DB">
      <w:pPr>
        <w:rPr>
          <w:rFonts w:ascii="Palatino Linotype" w:hAnsi="Palatino Linotype" w:cs="Arial"/>
          <w:iCs/>
          <w:color w:val="333333"/>
        </w:rPr>
      </w:pPr>
    </w:p>
    <w:p w:rsidR="00B34234" w:rsidRPr="00B74402" w:rsidRDefault="00B34234">
      <w:pPr>
        <w:rPr>
          <w:rFonts w:ascii="Palatino Linotype" w:hAnsi="Palatino Linotype" w:cs="Arial"/>
          <w:b/>
          <w:iCs/>
          <w:color w:val="333333"/>
        </w:rPr>
      </w:pPr>
      <w:r w:rsidRPr="00B74402">
        <w:rPr>
          <w:rFonts w:ascii="Palatino Linotype" w:hAnsi="Palatino Linotype" w:cs="Arial"/>
          <w:b/>
          <w:iCs/>
          <w:color w:val="333333"/>
        </w:rPr>
        <w:t>The Ruling</w:t>
      </w:r>
    </w:p>
    <w:p w:rsidR="00B34234" w:rsidRPr="00B74402" w:rsidRDefault="00B34234" w:rsidP="00066B9F">
      <w:pPr>
        <w:pStyle w:val="CM15"/>
        <w:ind w:firstLine="220"/>
        <w:rPr>
          <w:rFonts w:ascii="Palatino Linotype" w:hAnsi="Palatino Linotype"/>
        </w:rPr>
      </w:pPr>
    </w:p>
    <w:p w:rsidR="00066B9F" w:rsidRPr="00B74402" w:rsidRDefault="00B132DB" w:rsidP="00066B9F">
      <w:pPr>
        <w:pStyle w:val="CM15"/>
        <w:ind w:firstLine="220"/>
        <w:rPr>
          <w:rFonts w:ascii="Palatino Linotype" w:hAnsi="Palatino Linotype"/>
        </w:rPr>
      </w:pPr>
      <w:r>
        <w:rPr>
          <w:rFonts w:ascii="Palatino Linotype" w:hAnsi="Palatino Linotype"/>
          <w:noProof/>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172720</wp:posOffset>
            </wp:positionV>
            <wp:extent cx="923925" cy="895350"/>
            <wp:effectExtent l="19050" t="0" r="9525" b="0"/>
            <wp:wrapTight wrapText="bothSides">
              <wp:wrapPolygon edited="0">
                <wp:start x="9353" y="460"/>
                <wp:lineTo x="2672" y="4136"/>
                <wp:lineTo x="891" y="5974"/>
                <wp:lineTo x="1781" y="7813"/>
                <wp:lineTo x="-445" y="15166"/>
                <wp:lineTo x="-445" y="16085"/>
                <wp:lineTo x="5790" y="21140"/>
                <wp:lineTo x="6680" y="21140"/>
                <wp:lineTo x="15142" y="21140"/>
                <wp:lineTo x="18260" y="21140"/>
                <wp:lineTo x="21823" y="17923"/>
                <wp:lineTo x="21823" y="15166"/>
                <wp:lineTo x="20487" y="7813"/>
                <wp:lineTo x="12470" y="460"/>
                <wp:lineTo x="9353" y="460"/>
              </wp:wrapPolygon>
            </wp:wrapTight>
            <wp:docPr id="6" name="Picture 2" descr="C:\Users\frys\AppData\Local\Microsoft\Windows\Temporary Internet Files\Content.IE5\GIOTO8B8\MC9003911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ys\AppData\Local\Microsoft\Windows\Temporary Internet Files\Content.IE5\GIOTO8B8\MC900391156[1].wmf"/>
                    <pic:cNvPicPr>
                      <a:picLocks noChangeAspect="1" noChangeArrowheads="1"/>
                    </pic:cNvPicPr>
                  </pic:nvPicPr>
                  <pic:blipFill>
                    <a:blip r:embed="rId9" cstate="print"/>
                    <a:srcRect/>
                    <a:stretch>
                      <a:fillRect/>
                    </a:stretch>
                  </pic:blipFill>
                  <pic:spPr bwMode="auto">
                    <a:xfrm>
                      <a:off x="0" y="0"/>
                      <a:ext cx="923925" cy="895350"/>
                    </a:xfrm>
                    <a:prstGeom prst="rect">
                      <a:avLst/>
                    </a:prstGeom>
                    <a:noFill/>
                    <a:ln w="9525">
                      <a:noFill/>
                      <a:miter lim="800000"/>
                      <a:headEnd/>
                      <a:tailEnd/>
                    </a:ln>
                  </pic:spPr>
                </pic:pic>
              </a:graphicData>
            </a:graphic>
          </wp:anchor>
        </w:drawing>
      </w:r>
      <w:r w:rsidR="00066B9F" w:rsidRPr="00B74402">
        <w:rPr>
          <w:rFonts w:ascii="Palatino Linotype" w:hAnsi="Palatino Linotype"/>
        </w:rPr>
        <w:tab/>
        <w:t>The Supreme Court ruled June 30, 2014 that the religious beliefs of the owners of a family</w:t>
      </w:r>
      <w:r w:rsidR="00B34234" w:rsidRPr="00B74402">
        <w:rPr>
          <w:rFonts w:ascii="Palatino Linotype" w:hAnsi="Palatino Linotype"/>
        </w:rPr>
        <w:t>-</w:t>
      </w:r>
      <w:r w:rsidR="00066B9F" w:rsidRPr="00B74402">
        <w:rPr>
          <w:rFonts w:ascii="Palatino Linotype" w:hAnsi="Palatino Linotype"/>
        </w:rPr>
        <w:t xml:space="preserve">held corporation are more important than the rights of </w:t>
      </w:r>
      <w:r w:rsidR="00723045" w:rsidRPr="00B74402">
        <w:rPr>
          <w:rFonts w:ascii="Palatino Linotype" w:hAnsi="Palatino Linotype"/>
        </w:rPr>
        <w:t>its</w:t>
      </w:r>
      <w:r w:rsidR="00066B9F" w:rsidRPr="00B74402">
        <w:rPr>
          <w:rFonts w:ascii="Palatino Linotype" w:hAnsi="Palatino Linotype"/>
        </w:rPr>
        <w:t xml:space="preserve"> women employees to </w:t>
      </w:r>
      <w:r w:rsidR="00723045" w:rsidRPr="00B74402">
        <w:rPr>
          <w:rFonts w:ascii="Palatino Linotype" w:hAnsi="Palatino Linotype"/>
        </w:rPr>
        <w:t xml:space="preserve">the </w:t>
      </w:r>
      <w:r w:rsidR="00066B9F" w:rsidRPr="00B74402">
        <w:rPr>
          <w:rFonts w:ascii="Palatino Linotype" w:hAnsi="Palatino Linotype"/>
        </w:rPr>
        <w:t xml:space="preserve">full </w:t>
      </w:r>
      <w:r w:rsidR="00723045" w:rsidRPr="00B74402">
        <w:rPr>
          <w:rFonts w:ascii="Palatino Linotype" w:hAnsi="Palatino Linotype"/>
        </w:rPr>
        <w:t xml:space="preserve">contraception benefits </w:t>
      </w:r>
      <w:r w:rsidR="00066B9F" w:rsidRPr="00B74402">
        <w:rPr>
          <w:rFonts w:ascii="Palatino Linotype" w:hAnsi="Palatino Linotype"/>
        </w:rPr>
        <w:t xml:space="preserve">under the American Care Act.  Justice Kennedy, who cast the swing vote in the 5-4 decision, seems to say that this is </w:t>
      </w:r>
      <w:r w:rsidR="00F610EB" w:rsidRPr="00B74402">
        <w:rPr>
          <w:rFonts w:ascii="Palatino Linotype" w:hAnsi="Palatino Linotype"/>
        </w:rPr>
        <w:t xml:space="preserve">very narrow ruling, applying only to contraception; </w:t>
      </w:r>
      <w:r w:rsidR="00066B9F" w:rsidRPr="00B74402">
        <w:rPr>
          <w:rFonts w:ascii="Palatino Linotype" w:hAnsi="Palatino Linotype"/>
        </w:rPr>
        <w:t xml:space="preserve">others disagree. Justice Ginsberg called it a decision of “startling breadth.”  </w:t>
      </w:r>
    </w:p>
    <w:p w:rsidR="00B27989" w:rsidRPr="00B74402" w:rsidRDefault="00066B9F" w:rsidP="00066B9F">
      <w:pPr>
        <w:rPr>
          <w:rFonts w:ascii="Palatino Linotype" w:hAnsi="Palatino Linotype"/>
        </w:rPr>
      </w:pPr>
      <w:r w:rsidRPr="00B74402">
        <w:rPr>
          <w:rFonts w:ascii="Palatino Linotype" w:hAnsi="Palatino Linotype"/>
        </w:rPr>
        <w:tab/>
        <w:t>The majority opinion</w:t>
      </w:r>
      <w:r w:rsidR="00723045" w:rsidRPr="00B74402">
        <w:rPr>
          <w:rFonts w:ascii="Palatino Linotype" w:hAnsi="Palatino Linotype"/>
        </w:rPr>
        <w:t xml:space="preserve"> was not decided on the basis of the first amendment providing for freedom of religion (for the owners of the corporation), but rather on the Religious Freedom Restoration Act of 1993 </w:t>
      </w:r>
      <w:r w:rsidRPr="00B74402">
        <w:rPr>
          <w:rFonts w:ascii="Palatino Linotype" w:hAnsi="Palatino Linotype"/>
        </w:rPr>
        <w:t>that was initially intended to protect religious expression of individuals</w:t>
      </w:r>
      <w:r w:rsidR="00723045" w:rsidRPr="00B74402">
        <w:rPr>
          <w:rFonts w:ascii="Palatino Linotype" w:hAnsi="Palatino Linotype"/>
        </w:rPr>
        <w:t xml:space="preserve">.  As Justice Ginsberg noted in her dissent </w:t>
      </w:r>
      <w:r w:rsidRPr="00B74402">
        <w:rPr>
          <w:rFonts w:ascii="Palatino Linotype" w:hAnsi="Palatino Linotype"/>
        </w:rPr>
        <w:t xml:space="preserve">this right of religious expression has </w:t>
      </w:r>
      <w:r w:rsidR="00B85CA6">
        <w:rPr>
          <w:rFonts w:ascii="Palatino Linotype" w:hAnsi="Palatino Linotype"/>
        </w:rPr>
        <w:t>“</w:t>
      </w:r>
      <w:r w:rsidRPr="00B74402">
        <w:rPr>
          <w:rFonts w:ascii="Palatino Linotype" w:hAnsi="Palatino Linotype"/>
        </w:rPr>
        <w:t>never before been extend</w:t>
      </w:r>
      <w:r w:rsidR="00723045" w:rsidRPr="00B74402">
        <w:rPr>
          <w:rFonts w:ascii="Palatino Linotype" w:hAnsi="Palatino Linotype"/>
        </w:rPr>
        <w:t xml:space="preserve">ed to for-profit corporations” </w:t>
      </w:r>
      <w:r w:rsidRPr="00B74402">
        <w:rPr>
          <w:rFonts w:ascii="Palatino Linotype" w:hAnsi="Palatino Linotype"/>
        </w:rPr>
        <w:t>not even those that are “closely held</w:t>
      </w:r>
      <w:r w:rsidR="00B85CA6">
        <w:rPr>
          <w:rFonts w:ascii="Palatino Linotype" w:hAnsi="Palatino Linotype"/>
        </w:rPr>
        <w:t>.</w:t>
      </w:r>
      <w:r w:rsidRPr="00B74402">
        <w:rPr>
          <w:rFonts w:ascii="Palatino Linotype" w:hAnsi="Palatino Linotype"/>
        </w:rPr>
        <w:t xml:space="preserve">” </w:t>
      </w:r>
      <w:r w:rsidR="00B85CA6">
        <w:rPr>
          <w:rFonts w:ascii="Palatino Linotype" w:hAnsi="Palatino Linotype"/>
        </w:rPr>
        <w:t xml:space="preserve"> [The IRS defines “closely held” </w:t>
      </w:r>
      <w:r w:rsidRPr="00B74402">
        <w:rPr>
          <w:rFonts w:ascii="Palatino Linotype" w:hAnsi="Palatino Linotype"/>
        </w:rPr>
        <w:t>as 50 percent or more of the assets held by fewer than five persons.</w:t>
      </w:r>
      <w:r w:rsidR="00B85CA6">
        <w:rPr>
          <w:rFonts w:ascii="Palatino Linotype" w:hAnsi="Palatino Linotype"/>
        </w:rPr>
        <w:t>]</w:t>
      </w:r>
      <w:r w:rsidR="00B27989">
        <w:rPr>
          <w:rFonts w:ascii="Palatino Linotype" w:hAnsi="Palatino Linotype"/>
        </w:rPr>
        <w:t xml:space="preserve">  </w:t>
      </w:r>
      <w:hyperlink r:id="rId10" w:history="1">
        <w:r w:rsidR="00B27989" w:rsidRPr="00B27989">
          <w:rPr>
            <w:rStyle w:val="Hyperlink"/>
            <w:rFonts w:ascii="Palatino Linotype" w:hAnsi="Palatino Linotype"/>
          </w:rPr>
          <w:t>Access the law here</w:t>
        </w:r>
      </w:hyperlink>
      <w:r w:rsidR="00B27989">
        <w:rPr>
          <w:rFonts w:ascii="Palatino Linotype" w:hAnsi="Palatino Linotype"/>
        </w:rPr>
        <w:t xml:space="preserve"> </w:t>
      </w:r>
    </w:p>
    <w:p w:rsidR="00B85CA6" w:rsidRDefault="00B34234" w:rsidP="00066B9F">
      <w:pPr>
        <w:rPr>
          <w:rFonts w:ascii="Palatino Linotype" w:hAnsi="Palatino Linotype"/>
        </w:rPr>
      </w:pPr>
      <w:r w:rsidRPr="00B74402">
        <w:rPr>
          <w:rFonts w:ascii="Palatino Linotype" w:hAnsi="Palatino Linotype"/>
        </w:rPr>
        <w:tab/>
        <w:t xml:space="preserve">The majority opinion was written by Justice </w:t>
      </w:r>
      <w:r w:rsidR="00C13E50" w:rsidRPr="00B74402">
        <w:rPr>
          <w:rFonts w:ascii="Palatino Linotype" w:hAnsi="Palatino Linotype"/>
        </w:rPr>
        <w:t>A</w:t>
      </w:r>
      <w:r w:rsidRPr="00B74402">
        <w:rPr>
          <w:rFonts w:ascii="Palatino Linotype" w:hAnsi="Palatino Linotype"/>
        </w:rPr>
        <w:t>lito and joined by four other justices – all men, all appointed by Republican presidents.  All three women jus</w:t>
      </w:r>
      <w:r w:rsidR="00C13E50" w:rsidRPr="00B74402">
        <w:rPr>
          <w:rFonts w:ascii="Palatino Linotype" w:hAnsi="Palatino Linotype"/>
        </w:rPr>
        <w:t xml:space="preserve">tices were part of the dissent, as was Justice Breyer. </w:t>
      </w:r>
      <w:r w:rsidRPr="00B74402">
        <w:rPr>
          <w:rFonts w:ascii="Palatino Linotype" w:hAnsi="Palatino Linotype"/>
        </w:rPr>
        <w:t xml:space="preserve"> All were appointed by Democratic Presidents. </w:t>
      </w:r>
    </w:p>
    <w:p w:rsidR="00723045" w:rsidRPr="00B74402" w:rsidRDefault="00F610EB" w:rsidP="00066B9F">
      <w:pPr>
        <w:rPr>
          <w:rFonts w:ascii="Palatino Linotype" w:hAnsi="Palatino Linotype"/>
        </w:rPr>
      </w:pPr>
      <w:r w:rsidRPr="00B74402">
        <w:rPr>
          <w:rFonts w:ascii="Palatino Linotype" w:hAnsi="Palatino Linotype"/>
          <w:b/>
        </w:rPr>
        <w:lastRenderedPageBreak/>
        <w:t>T</w:t>
      </w:r>
      <w:r w:rsidR="00723045" w:rsidRPr="00B74402">
        <w:rPr>
          <w:rFonts w:ascii="Palatino Linotype" w:hAnsi="Palatino Linotype"/>
          <w:b/>
        </w:rPr>
        <w:t>he Religious Freedom Restoration Act (RFRA</w:t>
      </w:r>
      <w:r w:rsidR="00723045" w:rsidRPr="00B74402">
        <w:rPr>
          <w:rFonts w:ascii="Palatino Linotype" w:hAnsi="Palatino Linotype"/>
        </w:rPr>
        <w:t>)</w:t>
      </w:r>
    </w:p>
    <w:p w:rsidR="00723045" w:rsidRPr="00B74402" w:rsidRDefault="00723045" w:rsidP="00F610EB">
      <w:pPr>
        <w:rPr>
          <w:rFonts w:ascii="Palatino Linotype" w:hAnsi="Palatino Linotype"/>
        </w:rPr>
      </w:pPr>
      <w:r w:rsidRPr="00B74402">
        <w:rPr>
          <w:rFonts w:ascii="Palatino Linotype" w:hAnsi="Palatino Linotype"/>
        </w:rPr>
        <w:tab/>
        <w:t>The RFRA was passed</w:t>
      </w:r>
      <w:r w:rsidR="00F610EB" w:rsidRPr="00B74402">
        <w:rPr>
          <w:rFonts w:ascii="Palatino Linotype" w:hAnsi="Palatino Linotype"/>
        </w:rPr>
        <w:t xml:space="preserve"> by </w:t>
      </w:r>
      <w:r w:rsidR="00B85CA6">
        <w:rPr>
          <w:rFonts w:ascii="Palatino Linotype" w:hAnsi="Palatino Linotype"/>
        </w:rPr>
        <w:t xml:space="preserve">a Democratically-controlled </w:t>
      </w:r>
      <w:r w:rsidR="00F610EB" w:rsidRPr="00B74402">
        <w:rPr>
          <w:rFonts w:ascii="Palatino Linotype" w:hAnsi="Palatino Linotype"/>
        </w:rPr>
        <w:t>Congress</w:t>
      </w:r>
      <w:r w:rsidRPr="00B74402">
        <w:rPr>
          <w:rFonts w:ascii="Palatino Linotype" w:hAnsi="Palatino Linotype"/>
        </w:rPr>
        <w:t xml:space="preserve"> in 1993 </w:t>
      </w:r>
      <w:r w:rsidR="00E159CF" w:rsidRPr="00B74402">
        <w:rPr>
          <w:rFonts w:ascii="Palatino Linotype" w:hAnsi="Palatino Linotype"/>
        </w:rPr>
        <w:t>(</w:t>
      </w:r>
      <w:r w:rsidRPr="00B74402">
        <w:rPr>
          <w:rFonts w:ascii="Palatino Linotype" w:hAnsi="Palatino Linotype"/>
        </w:rPr>
        <w:t>almost unanimously</w:t>
      </w:r>
      <w:r w:rsidR="00E159CF" w:rsidRPr="00B74402">
        <w:rPr>
          <w:rFonts w:ascii="Palatino Linotype" w:hAnsi="Palatino Linotype"/>
        </w:rPr>
        <w:t>)</w:t>
      </w:r>
      <w:r w:rsidRPr="00B74402">
        <w:rPr>
          <w:rFonts w:ascii="Palatino Linotype" w:hAnsi="Palatino Linotype"/>
        </w:rPr>
        <w:t xml:space="preserve"> in response to a Supreme Court decision (</w:t>
      </w:r>
      <w:r w:rsidRPr="00B74402">
        <w:rPr>
          <w:rFonts w:ascii="Palatino Linotype" w:hAnsi="Palatino Linotype"/>
          <w:i/>
        </w:rPr>
        <w:t>Smith</w:t>
      </w:r>
      <w:r w:rsidRPr="00B74402">
        <w:rPr>
          <w:rFonts w:ascii="Palatino Linotype" w:hAnsi="Palatino Linotype"/>
        </w:rPr>
        <w:t xml:space="preserve">) that had allowed an Oregon court to prosecute two American Indians who had used peyote (an illegal drug at the time) in a religious ceremony.  </w:t>
      </w:r>
      <w:r w:rsidR="00F610EB" w:rsidRPr="00B74402">
        <w:rPr>
          <w:rFonts w:ascii="Palatino Linotype" w:hAnsi="Palatino Linotype"/>
        </w:rPr>
        <w:t xml:space="preserve">At the time, it seemed the RFRA was carefully limited as it prohibits the government from substantially burdening a person’s religious freedom unless there is (1) a compelling government interest, and (2) is the least restrictive means of furthering that compelling governmental interest.  Another case, Religious Land use and Institutionalized Persons </w:t>
      </w:r>
      <w:proofErr w:type="gramStart"/>
      <w:r w:rsidR="00F610EB" w:rsidRPr="00B74402">
        <w:rPr>
          <w:rFonts w:ascii="Palatino Linotype" w:hAnsi="Palatino Linotype"/>
        </w:rPr>
        <w:t>extends</w:t>
      </w:r>
      <w:proofErr w:type="gramEnd"/>
      <w:r w:rsidR="00F610EB" w:rsidRPr="00B74402">
        <w:rPr>
          <w:rFonts w:ascii="Palatino Linotype" w:hAnsi="Palatino Linotype"/>
        </w:rPr>
        <w:t xml:space="preserve"> this to any exercise of religion. </w:t>
      </w:r>
    </w:p>
    <w:p w:rsidR="00F610EB" w:rsidRPr="00B74402" w:rsidRDefault="00F610EB" w:rsidP="00F610EB">
      <w:pPr>
        <w:rPr>
          <w:rFonts w:ascii="Palatino Linotype" w:hAnsi="Palatino Linotype"/>
        </w:rPr>
      </w:pPr>
    </w:p>
    <w:p w:rsidR="00F610EB" w:rsidRPr="00B74402" w:rsidRDefault="00F610EB" w:rsidP="00F610EB">
      <w:pPr>
        <w:rPr>
          <w:rFonts w:ascii="Palatino Linotype" w:hAnsi="Palatino Linotype"/>
        </w:rPr>
      </w:pPr>
      <w:r w:rsidRPr="00B74402">
        <w:rPr>
          <w:rFonts w:ascii="Palatino Linotype" w:hAnsi="Palatino Linotype"/>
          <w:b/>
        </w:rPr>
        <w:t>Hobby Lobby</w:t>
      </w:r>
    </w:p>
    <w:p w:rsidR="00F610EB" w:rsidRPr="00B74402" w:rsidRDefault="00F610EB" w:rsidP="00F610EB">
      <w:pPr>
        <w:rPr>
          <w:rFonts w:ascii="Palatino Linotype" w:hAnsi="Palatino Linotype"/>
        </w:rPr>
      </w:pPr>
      <w:r w:rsidRPr="00B74402">
        <w:rPr>
          <w:rFonts w:ascii="Palatino Linotype" w:hAnsi="Palatino Linotype"/>
        </w:rPr>
        <w:tab/>
        <w:t xml:space="preserve">Hobby Lobby is an arts and crafts retail store with approximately 13,000 employees in the United States.  It is owned and operated by the Green family, who in the incorporation papers in Oklahoma cited </w:t>
      </w:r>
      <w:r w:rsidR="00133632" w:rsidRPr="00B74402">
        <w:rPr>
          <w:rFonts w:ascii="Palatino Linotype" w:hAnsi="Palatino Linotype"/>
        </w:rPr>
        <w:t xml:space="preserve">service to the Lord as part of their purpose.  Family members hold all of the offices of the company.  Nevertheless, incorporation makes clear that the corporation itself is separate from its owners and its hiring policies explicitly welcome people of all faiths and religions.   </w:t>
      </w:r>
      <w:r w:rsidR="00962435" w:rsidRPr="00B74402">
        <w:rPr>
          <w:rFonts w:ascii="Palatino Linotype" w:hAnsi="Palatino Linotype"/>
        </w:rPr>
        <w:t xml:space="preserve">David Green, the president, is the son of a fundamentalist minister.  </w:t>
      </w:r>
    </w:p>
    <w:p w:rsidR="00FA2C64" w:rsidRPr="00B74402" w:rsidRDefault="00FA2C64" w:rsidP="00F610EB">
      <w:pPr>
        <w:rPr>
          <w:rFonts w:ascii="Palatino Linotype" w:hAnsi="Palatino Linotype"/>
        </w:rPr>
      </w:pPr>
      <w:r w:rsidRPr="00B74402">
        <w:rPr>
          <w:rFonts w:ascii="Palatino Linotype" w:hAnsi="Palatino Linotype"/>
        </w:rPr>
        <w:tab/>
        <w:t>Hobby Lobby claimed that four of the 20 contrace</w:t>
      </w:r>
      <w:r w:rsidR="00E159CF" w:rsidRPr="00B74402">
        <w:rPr>
          <w:rFonts w:ascii="Palatino Linotype" w:hAnsi="Palatino Linotype"/>
        </w:rPr>
        <w:t>p</w:t>
      </w:r>
      <w:r w:rsidRPr="00B74402">
        <w:rPr>
          <w:rFonts w:ascii="Palatino Linotype" w:hAnsi="Palatino Linotype"/>
        </w:rPr>
        <w:t xml:space="preserve">tion techniques </w:t>
      </w:r>
      <w:r w:rsidR="00C13E50" w:rsidRPr="00B74402">
        <w:rPr>
          <w:rFonts w:ascii="Palatino Linotype" w:hAnsi="Palatino Linotype"/>
        </w:rPr>
        <w:t xml:space="preserve">covered by the ACA </w:t>
      </w:r>
      <w:r w:rsidRPr="00B74402">
        <w:rPr>
          <w:rFonts w:ascii="Palatino Linotype" w:hAnsi="Palatino Linotype"/>
        </w:rPr>
        <w:t xml:space="preserve">violate their religious beliefs.  These include the “morning after” pill, Plan B, Ella, and IUDs.  </w:t>
      </w:r>
      <w:r w:rsidR="00B85CA6">
        <w:rPr>
          <w:rFonts w:ascii="Palatino Linotype" w:hAnsi="Palatino Linotype"/>
        </w:rPr>
        <w:t xml:space="preserve">They contend these contraceptive methods are a form of abortion. </w:t>
      </w:r>
    </w:p>
    <w:p w:rsidR="00962435" w:rsidRPr="00B74402" w:rsidRDefault="00962435" w:rsidP="00F610EB">
      <w:pPr>
        <w:rPr>
          <w:rFonts w:ascii="Palatino Linotype" w:hAnsi="Palatino Linotype"/>
        </w:rPr>
      </w:pPr>
    </w:p>
    <w:p w:rsidR="00962435" w:rsidRPr="00B74402" w:rsidRDefault="00962435" w:rsidP="00F610EB">
      <w:pPr>
        <w:rPr>
          <w:rFonts w:ascii="Palatino Linotype" w:hAnsi="Palatino Linotype"/>
          <w:b/>
        </w:rPr>
      </w:pPr>
      <w:r w:rsidRPr="00B74402">
        <w:rPr>
          <w:rFonts w:ascii="Palatino Linotype" w:hAnsi="Palatino Linotype"/>
          <w:b/>
        </w:rPr>
        <w:t>The Majority Opinion</w:t>
      </w:r>
      <w:r w:rsidR="00CA46DE">
        <w:rPr>
          <w:rFonts w:ascii="Palatino Linotype" w:hAnsi="Palatino Linotype"/>
          <w:b/>
          <w:noProof/>
          <w:lang w:eastAsia="zh-TW"/>
        </w:rPr>
        <w:pict>
          <v:rect id="_x0000_s1027" style="position:absolute;margin-left:1080.3pt;margin-top:104.5pt;width:185.6pt;height:152.95pt;flip:x;z-index:251663360;mso-width-percent:400;mso-top-percent:160;mso-wrap-distance-top:7.2pt;mso-wrap-distance-bottom:7.2pt;mso-position-horizontal:right;mso-position-horizontal-relative:margin;mso-position-vertical-relative:margin;mso-width-percent:400;mso-top-percent:160;mso-width-relative:margin;v-text-anchor:middle" o:allowincell="f" filled="f" fillcolor="black [3213]" strokecolor="black [3213]" strokeweight="1.5pt">
            <v:shadow color="#f79646 [3209]" opacity=".5" offset="-15pt,0" offset2="-18pt,12pt"/>
            <v:textbox style="mso-next-textbox:#_x0000_s1027;mso-fit-shape-to-text:t" inset="21.6pt,21.6pt,21.6pt,21.6pt">
              <w:txbxContent>
                <w:p w:rsidR="004D05CC" w:rsidRPr="004D05CC" w:rsidRDefault="004D05CC">
                  <w:pPr>
                    <w:rPr>
                      <w:sz w:val="20"/>
                      <w:szCs w:val="20"/>
                    </w:rPr>
                  </w:pPr>
                  <w:r w:rsidRPr="004D05CC">
                    <w:rPr>
                      <w:sz w:val="20"/>
                      <w:szCs w:val="20"/>
                    </w:rPr>
                    <w:t xml:space="preserve">Be careful what you wish for!  Policies may have unintended consequences. </w:t>
                  </w:r>
                </w:p>
              </w:txbxContent>
            </v:textbox>
            <w10:wrap type="square" anchorx="margin" anchory="margin"/>
          </v:rect>
        </w:pict>
      </w:r>
    </w:p>
    <w:p w:rsidR="00FA2C64" w:rsidRPr="00B74402" w:rsidRDefault="00883FF4" w:rsidP="00F610EB">
      <w:pPr>
        <w:rPr>
          <w:rFonts w:ascii="Palatino Linotype" w:hAnsi="Palatino Linotype"/>
        </w:rPr>
      </w:pPr>
      <w:r>
        <w:rPr>
          <w:rFonts w:ascii="Palatino Linotype" w:hAnsi="Palatino Linotype"/>
          <w:noProof/>
        </w:rPr>
        <w:drawing>
          <wp:anchor distT="0" distB="0" distL="114300" distR="114300" simplePos="0" relativeHeight="251661312" behindDoc="1" locked="0" layoutInCell="1" allowOverlap="1">
            <wp:simplePos x="0" y="0"/>
            <wp:positionH relativeFrom="column">
              <wp:posOffset>9525</wp:posOffset>
            </wp:positionH>
            <wp:positionV relativeFrom="paragraph">
              <wp:posOffset>589915</wp:posOffset>
            </wp:positionV>
            <wp:extent cx="814070" cy="1733550"/>
            <wp:effectExtent l="19050" t="0" r="5080" b="0"/>
            <wp:wrapTight wrapText="bothSides">
              <wp:wrapPolygon edited="0">
                <wp:start x="12637" y="237"/>
                <wp:lineTo x="4549" y="1899"/>
                <wp:lineTo x="1011" y="3086"/>
                <wp:lineTo x="-505" y="5697"/>
                <wp:lineTo x="0" y="7121"/>
                <wp:lineTo x="3538" y="8070"/>
                <wp:lineTo x="7582" y="11631"/>
                <wp:lineTo x="7582" y="19226"/>
                <wp:lineTo x="5560" y="21363"/>
                <wp:lineTo x="21735" y="21363"/>
                <wp:lineTo x="21735" y="20651"/>
                <wp:lineTo x="19713" y="19226"/>
                <wp:lineTo x="18702" y="16615"/>
                <wp:lineTo x="18702" y="13530"/>
                <wp:lineTo x="17691" y="11868"/>
                <wp:lineTo x="15164" y="11631"/>
                <wp:lineTo x="19207" y="10444"/>
                <wp:lineTo x="19713" y="9020"/>
                <wp:lineTo x="16175" y="7833"/>
                <wp:lineTo x="16680" y="6171"/>
                <wp:lineTo x="15669" y="4985"/>
                <wp:lineTo x="13647" y="4035"/>
                <wp:lineTo x="17691" y="949"/>
                <wp:lineTo x="17186" y="237"/>
                <wp:lineTo x="12637" y="237"/>
              </wp:wrapPolygon>
            </wp:wrapTight>
            <wp:docPr id="17" name="Picture 10" descr="C:\Users\frys\AppData\Local\Microsoft\Windows\Temporary Internet Files\Content.IE5\BF8TEQ97\MC9000786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rys\AppData\Local\Microsoft\Windows\Temporary Internet Files\Content.IE5\BF8TEQ97\MC900078622[1].wmf"/>
                    <pic:cNvPicPr>
                      <a:picLocks noChangeAspect="1" noChangeArrowheads="1"/>
                    </pic:cNvPicPr>
                  </pic:nvPicPr>
                  <pic:blipFill>
                    <a:blip r:embed="rId11" cstate="print"/>
                    <a:srcRect/>
                    <a:stretch>
                      <a:fillRect/>
                    </a:stretch>
                  </pic:blipFill>
                  <pic:spPr bwMode="auto">
                    <a:xfrm>
                      <a:off x="0" y="0"/>
                      <a:ext cx="814070" cy="1733550"/>
                    </a:xfrm>
                    <a:prstGeom prst="rect">
                      <a:avLst/>
                    </a:prstGeom>
                    <a:noFill/>
                    <a:ln w="9525">
                      <a:noFill/>
                      <a:miter lim="800000"/>
                      <a:headEnd/>
                      <a:tailEnd/>
                    </a:ln>
                  </pic:spPr>
                </pic:pic>
              </a:graphicData>
            </a:graphic>
          </wp:anchor>
        </w:drawing>
      </w:r>
      <w:r w:rsidR="00962435" w:rsidRPr="00B74402">
        <w:rPr>
          <w:rFonts w:ascii="Palatino Linotype" w:hAnsi="Palatino Linotype"/>
        </w:rPr>
        <w:tab/>
        <w:t xml:space="preserve">The majority opinion </w:t>
      </w:r>
      <w:r w:rsidR="00B85CA6">
        <w:rPr>
          <w:rFonts w:ascii="Palatino Linotype" w:hAnsi="Palatino Linotype"/>
        </w:rPr>
        <w:t xml:space="preserve">said almost nothing in the </w:t>
      </w:r>
      <w:r w:rsidR="00962435" w:rsidRPr="00B74402">
        <w:rPr>
          <w:rFonts w:ascii="Palatino Linotype" w:hAnsi="Palatino Linotype"/>
        </w:rPr>
        <w:t xml:space="preserve">written decision on the question of sincerity of the religious beliefs. </w:t>
      </w:r>
      <w:r w:rsidR="00E159CF" w:rsidRPr="00B74402">
        <w:rPr>
          <w:rFonts w:ascii="Palatino Linotype" w:hAnsi="Palatino Linotype"/>
        </w:rPr>
        <w:t>This was simply assumed</w:t>
      </w:r>
      <w:r w:rsidR="00B85CA6">
        <w:rPr>
          <w:rFonts w:ascii="Palatino Linotype" w:hAnsi="Palatino Linotype"/>
        </w:rPr>
        <w:t xml:space="preserve">. </w:t>
      </w:r>
      <w:r w:rsidR="00962435" w:rsidRPr="00B74402">
        <w:rPr>
          <w:rFonts w:ascii="Palatino Linotype" w:hAnsi="Palatino Linotype"/>
        </w:rPr>
        <w:t xml:space="preserve"> Also, the majority opinion paid</w:t>
      </w:r>
      <w:r w:rsidR="00E159CF" w:rsidRPr="00B74402">
        <w:rPr>
          <w:rFonts w:ascii="Palatino Linotype" w:hAnsi="Palatino Linotype"/>
        </w:rPr>
        <w:t xml:space="preserve"> very little </w:t>
      </w:r>
      <w:r w:rsidR="00962435" w:rsidRPr="00B74402">
        <w:rPr>
          <w:rFonts w:ascii="Palatino Linotype" w:hAnsi="Palatino Linotype"/>
        </w:rPr>
        <w:t>attention to whether the ACA “burdened” that religious freedom.  It simply mentioned that the beliefs were sincerely held and that if the company did not cover the health care costs of its employees, it would be required to pay a fine.   Apparently, that was all that was needed</w:t>
      </w:r>
      <w:r w:rsidR="00FA2C64" w:rsidRPr="00B74402">
        <w:rPr>
          <w:rFonts w:ascii="Palatino Linotype" w:hAnsi="Palatino Linotype"/>
        </w:rPr>
        <w:t xml:space="preserve"> to constitute “burdened</w:t>
      </w:r>
      <w:r w:rsidR="00962435" w:rsidRPr="00B74402">
        <w:rPr>
          <w:rFonts w:ascii="Palatino Linotype" w:hAnsi="Palatino Linotype"/>
        </w:rPr>
        <w:t>.</w:t>
      </w:r>
      <w:r w:rsidR="00FA2C64" w:rsidRPr="00B74402">
        <w:rPr>
          <w:rFonts w:ascii="Palatino Linotype" w:hAnsi="Palatino Linotype"/>
        </w:rPr>
        <w:t>”</w:t>
      </w:r>
      <w:r w:rsidR="00962435" w:rsidRPr="00B74402">
        <w:rPr>
          <w:rFonts w:ascii="Palatino Linotype" w:hAnsi="Palatino Linotype"/>
        </w:rPr>
        <w:t xml:space="preserve">  </w:t>
      </w:r>
      <w:r w:rsidR="00FA2C64" w:rsidRPr="00B74402">
        <w:rPr>
          <w:rFonts w:ascii="Palatino Linotype" w:hAnsi="Palatino Linotype"/>
        </w:rPr>
        <w:t xml:space="preserve">The defense argued that ACA does not require the women to </w:t>
      </w:r>
      <w:r w:rsidR="00E159CF" w:rsidRPr="00B74402">
        <w:rPr>
          <w:rFonts w:ascii="Palatino Linotype" w:hAnsi="Palatino Linotype"/>
        </w:rPr>
        <w:t xml:space="preserve">actually </w:t>
      </w:r>
      <w:r w:rsidR="00FA2C64" w:rsidRPr="00B74402">
        <w:rPr>
          <w:rFonts w:ascii="Palatino Linotype" w:hAnsi="Palatino Linotype"/>
        </w:rPr>
        <w:t xml:space="preserve">use </w:t>
      </w:r>
      <w:proofErr w:type="spellStart"/>
      <w:proofErr w:type="gramStart"/>
      <w:r w:rsidR="00FA2C64" w:rsidRPr="00B74402">
        <w:rPr>
          <w:rFonts w:ascii="Palatino Linotype" w:hAnsi="Palatino Linotype"/>
        </w:rPr>
        <w:t>contracep</w:t>
      </w:r>
      <w:r w:rsidR="00B85CA6">
        <w:rPr>
          <w:rFonts w:ascii="Palatino Linotype" w:hAnsi="Palatino Linotype"/>
        </w:rPr>
        <w:t>t</w:t>
      </w:r>
      <w:r w:rsidR="00FA2C64" w:rsidRPr="00B74402">
        <w:rPr>
          <w:rFonts w:ascii="Palatino Linotype" w:hAnsi="Palatino Linotype"/>
        </w:rPr>
        <w:t>ion</w:t>
      </w:r>
      <w:r w:rsidR="00B85CA6">
        <w:rPr>
          <w:rFonts w:ascii="Palatino Linotype" w:hAnsi="Palatino Linotype"/>
        </w:rPr>
        <w:t>s</w:t>
      </w:r>
      <w:proofErr w:type="spellEnd"/>
      <w:r w:rsidR="00FA2C64" w:rsidRPr="00B74402">
        <w:rPr>
          <w:rFonts w:ascii="Palatino Linotype" w:hAnsi="Palatino Linotype"/>
        </w:rPr>
        <w:t>,</w:t>
      </w:r>
      <w:proofErr w:type="gramEnd"/>
      <w:r w:rsidR="00FA2C64" w:rsidRPr="00B74402">
        <w:rPr>
          <w:rFonts w:ascii="Palatino Linotype" w:hAnsi="Palatino Linotype"/>
        </w:rPr>
        <w:t xml:space="preserve"> it only requires that insurance offered to them must cover the 20 FDA- approved methods of contraception. </w:t>
      </w:r>
    </w:p>
    <w:p w:rsidR="00962435" w:rsidRPr="00B74402" w:rsidRDefault="00FA2C64" w:rsidP="00F610EB">
      <w:pPr>
        <w:rPr>
          <w:rFonts w:ascii="Palatino Linotype" w:hAnsi="Palatino Linotype"/>
        </w:rPr>
      </w:pPr>
      <w:r w:rsidRPr="00B74402">
        <w:rPr>
          <w:rFonts w:ascii="Palatino Linotype" w:hAnsi="Palatino Linotype"/>
        </w:rPr>
        <w:tab/>
        <w:t xml:space="preserve">The majority attempted to limit its decision by contending that corporations could not opt out of just any law, or just any part of the ACA, but only the part pertaining to contraception.  This is a puzzling part of the </w:t>
      </w:r>
      <w:r w:rsidRPr="00B74402">
        <w:rPr>
          <w:rFonts w:ascii="Palatino Linotype" w:hAnsi="Palatino Linotype"/>
        </w:rPr>
        <w:lastRenderedPageBreak/>
        <w:t xml:space="preserve">decision since no rationale was given for why contraception should be grounds for not having to obey the law, but other things such as opposition to blood transfusions or other medical procedures would not also be exceptions. </w:t>
      </w:r>
    </w:p>
    <w:p w:rsidR="00FA2C64" w:rsidRPr="00B74402" w:rsidRDefault="00FA2C64" w:rsidP="00F610EB">
      <w:pPr>
        <w:rPr>
          <w:rFonts w:ascii="Palatino Linotype" w:hAnsi="Palatino Linotype"/>
        </w:rPr>
      </w:pPr>
      <w:r w:rsidRPr="00B74402">
        <w:rPr>
          <w:rFonts w:ascii="Palatino Linotype" w:hAnsi="Palatino Linotype"/>
        </w:rPr>
        <w:tab/>
        <w:t xml:space="preserve">The opinion </w:t>
      </w:r>
      <w:r w:rsidR="00E159CF" w:rsidRPr="00B74402">
        <w:rPr>
          <w:rFonts w:ascii="Palatino Linotype" w:hAnsi="Palatino Linotype"/>
        </w:rPr>
        <w:t xml:space="preserve">explicitly </w:t>
      </w:r>
      <w:proofErr w:type="gramStart"/>
      <w:r w:rsidRPr="00B74402">
        <w:rPr>
          <w:rFonts w:ascii="Palatino Linotype" w:hAnsi="Palatino Linotype"/>
        </w:rPr>
        <w:t>extends  the</w:t>
      </w:r>
      <w:proofErr w:type="gramEnd"/>
      <w:r w:rsidRPr="00B74402">
        <w:rPr>
          <w:rFonts w:ascii="Palatino Linotype" w:hAnsi="Palatino Linotype"/>
        </w:rPr>
        <w:t xml:space="preserve"> RFRA to for-profit corporations saying that these are organizations of people and that the rights they enjoy are actually the rights of the people in the corporation.  The opinion does not seem to notice that employees are also part of that corporation and that for-profit corporations, unlike churches and religious non profits, do not have a  </w:t>
      </w:r>
      <w:r w:rsidR="00C13E50" w:rsidRPr="00B74402">
        <w:rPr>
          <w:rFonts w:ascii="Palatino Linotype" w:hAnsi="Palatino Linotype"/>
        </w:rPr>
        <w:t xml:space="preserve">homogeneous </w:t>
      </w:r>
      <w:r w:rsidRPr="00B74402">
        <w:rPr>
          <w:rFonts w:ascii="Palatino Linotype" w:hAnsi="Palatino Linotype"/>
        </w:rPr>
        <w:t xml:space="preserve"> “religious belief” that is being “burdened.”   </w:t>
      </w:r>
    </w:p>
    <w:p w:rsidR="00C13E50" w:rsidRPr="00B74402" w:rsidRDefault="00C13E50" w:rsidP="00F610EB">
      <w:pPr>
        <w:rPr>
          <w:rFonts w:ascii="Palatino Linotype" w:hAnsi="Palatino Linotype"/>
        </w:rPr>
      </w:pPr>
    </w:p>
    <w:p w:rsidR="00FA2C64" w:rsidRPr="00B74402" w:rsidRDefault="00FA2C64" w:rsidP="00F610EB">
      <w:pPr>
        <w:rPr>
          <w:rFonts w:ascii="Palatino Linotype" w:hAnsi="Palatino Linotype"/>
          <w:b/>
        </w:rPr>
      </w:pPr>
      <w:r w:rsidRPr="00B74402">
        <w:rPr>
          <w:rFonts w:ascii="Palatino Linotype" w:hAnsi="Palatino Linotype"/>
          <w:b/>
        </w:rPr>
        <w:t>The Heart of the Majority Argument</w:t>
      </w:r>
    </w:p>
    <w:p w:rsidR="00FA2C64" w:rsidRPr="00B74402" w:rsidRDefault="00CA46DE" w:rsidP="00F610EB">
      <w:pPr>
        <w:rPr>
          <w:rFonts w:ascii="Palatino Linotype" w:hAnsi="Palatino Linotype"/>
        </w:rPr>
      </w:pPr>
      <w:r>
        <w:rPr>
          <w:rFonts w:ascii="Palatino Linotype" w:hAnsi="Palatino Linotype"/>
          <w:noProof/>
          <w:lang w:eastAsia="zh-TW"/>
        </w:rPr>
        <w:pict>
          <v:rect id="_x0000_s1028" style="position:absolute;margin-left:285.75pt;margin-top:245.6pt;width:185.4pt;height:90.7pt;flip:x;z-index:251665408;mso-width-percent:400;mso-wrap-distance-top:7.2pt;mso-wrap-distance-bottom:7.2pt;mso-position-horizontal-relative:margin;mso-position-vertical-relative:margin;mso-width-percent:400;mso-width-relative:margin;v-text-anchor:middle" o:allowincell="f" filled="f" fillcolor="black [3213]" strokecolor="black [3213]" strokeweight="1.5pt">
            <v:shadow color="#f79646 [3209]" opacity=".5" offset="-15pt,0" offset2="-18pt,12pt"/>
            <v:textbox style="mso-next-textbox:#_x0000_s1028;mso-fit-shape-to-text:t" inset="21.6pt,21.6pt,21.6pt,21.6pt">
              <w:txbxContent>
                <w:p w:rsidR="004D05CC" w:rsidRPr="004D05CC" w:rsidRDefault="004D05CC">
                  <w:pPr>
                    <w:rPr>
                      <w:b/>
                      <w:sz w:val="20"/>
                      <w:szCs w:val="20"/>
                    </w:rPr>
                  </w:pPr>
                  <w:r>
                    <w:rPr>
                      <w:b/>
                      <w:sz w:val="20"/>
                      <w:szCs w:val="20"/>
                    </w:rPr>
                    <w:t>T</w:t>
                  </w:r>
                  <w:r w:rsidRPr="004D05CC">
                    <w:rPr>
                      <w:b/>
                      <w:sz w:val="20"/>
                      <w:szCs w:val="20"/>
                    </w:rPr>
                    <w:t xml:space="preserve">here is a “less restrictive option,” </w:t>
                  </w:r>
                  <w:r>
                    <w:rPr>
                      <w:b/>
                      <w:sz w:val="20"/>
                      <w:szCs w:val="20"/>
                    </w:rPr>
                    <w:t xml:space="preserve">but </w:t>
                  </w:r>
                  <w:r w:rsidRPr="004D05CC">
                    <w:rPr>
                      <w:b/>
                      <w:sz w:val="20"/>
                      <w:szCs w:val="20"/>
                    </w:rPr>
                    <w:t xml:space="preserve">will it be </w:t>
                  </w:r>
                  <w:r>
                    <w:rPr>
                      <w:b/>
                      <w:sz w:val="20"/>
                      <w:szCs w:val="20"/>
                    </w:rPr>
                    <w:t xml:space="preserve">politically possible for it to be used to </w:t>
                  </w:r>
                  <w:r w:rsidRPr="004D05CC">
                    <w:rPr>
                      <w:b/>
                      <w:sz w:val="20"/>
                      <w:szCs w:val="20"/>
                    </w:rPr>
                    <w:t>obtain coverage for these women?</w:t>
                  </w:r>
                </w:p>
              </w:txbxContent>
            </v:textbox>
            <w10:wrap type="square" anchorx="margin" anchory="margin"/>
          </v:rect>
        </w:pict>
      </w:r>
      <w:r w:rsidR="00FA2C64" w:rsidRPr="00B74402">
        <w:rPr>
          <w:rFonts w:ascii="Palatino Linotype" w:hAnsi="Palatino Linotype"/>
          <w:b/>
        </w:rPr>
        <w:tab/>
      </w:r>
      <w:r w:rsidR="00FA2C64" w:rsidRPr="00B74402">
        <w:rPr>
          <w:rFonts w:ascii="Palatino Linotype" w:hAnsi="Palatino Linotype"/>
        </w:rPr>
        <w:t xml:space="preserve">The majority decision was based primarily on the contention that there are other “less restrictive options” that the government could have used, rather than requiring contraceptive coverage as part of ACA.  They claimed that the government could pay for the coverage of these contraceptive methods or that the Department of Health and </w:t>
      </w:r>
      <w:r w:rsidR="00E159CF" w:rsidRPr="00B74402">
        <w:rPr>
          <w:rFonts w:ascii="Palatino Linotype" w:hAnsi="Palatino Linotype"/>
        </w:rPr>
        <w:t xml:space="preserve">Human Services (HHS) </w:t>
      </w:r>
      <w:r w:rsidR="00FA2C64" w:rsidRPr="00B74402">
        <w:rPr>
          <w:rFonts w:ascii="Palatino Linotype" w:hAnsi="Palatino Linotype"/>
        </w:rPr>
        <w:t>could extend the rule it already used to provide an exemption to churches and to religious non profits that they did not have to provide contraceptive coverage.  This rule</w:t>
      </w:r>
      <w:r w:rsidR="00E159CF" w:rsidRPr="00B74402">
        <w:rPr>
          <w:rFonts w:ascii="Palatino Linotype" w:hAnsi="Palatino Linotype"/>
        </w:rPr>
        <w:t xml:space="preserve"> exempts the organization, but </w:t>
      </w:r>
      <w:r w:rsidR="00FA2C64" w:rsidRPr="00B74402">
        <w:rPr>
          <w:rFonts w:ascii="Palatino Linotype" w:hAnsi="Palatino Linotype"/>
        </w:rPr>
        <w:t xml:space="preserve">requires the insurance companies to provide contraceptive services, anyway, using the argument that there is no net cost to the insurance company since the medical costs of unintended pregnancies was about the same or even </w:t>
      </w:r>
      <w:proofErr w:type="gramStart"/>
      <w:r w:rsidR="00FA2C64" w:rsidRPr="00B74402">
        <w:rPr>
          <w:rFonts w:ascii="Palatino Linotype" w:hAnsi="Palatino Linotype"/>
        </w:rPr>
        <w:t>greater  than</w:t>
      </w:r>
      <w:proofErr w:type="gramEnd"/>
      <w:r w:rsidR="00FA2C64" w:rsidRPr="00B74402">
        <w:rPr>
          <w:rFonts w:ascii="Palatino Linotype" w:hAnsi="Palatino Linotype"/>
        </w:rPr>
        <w:t xml:space="preserve"> the cost  of these contraceptives.  </w:t>
      </w:r>
      <w:r w:rsidR="00E159CF" w:rsidRPr="00B74402">
        <w:rPr>
          <w:rFonts w:ascii="Palatino Linotype" w:hAnsi="Palatino Linotype"/>
        </w:rPr>
        <w:t xml:space="preserve">Insurance companies were not happy with this “accommodation,” but they did agree to it.  </w:t>
      </w:r>
    </w:p>
    <w:p w:rsidR="00F94A0A" w:rsidRPr="00B74402" w:rsidRDefault="00F94A0A" w:rsidP="00F610EB">
      <w:pPr>
        <w:rPr>
          <w:rFonts w:ascii="Palatino Linotype" w:hAnsi="Palatino Linotype"/>
        </w:rPr>
      </w:pPr>
      <w:r w:rsidRPr="00B74402">
        <w:rPr>
          <w:rFonts w:ascii="Palatino Linotype" w:hAnsi="Palatino Linotype"/>
        </w:rPr>
        <w:tab/>
        <w:t>At the heart of the case:  the ruling enables the free expression of religion by the owners of the corporation to trump the religious rights of the employees  and also to trump the right of women to all of the health care benefits available under ACA.  Why?   Because there is a less restrictive alternative – let the public pay for it, or require the insurance companies to pay for it.</w:t>
      </w:r>
    </w:p>
    <w:p w:rsidR="00166928" w:rsidRPr="00B74402" w:rsidRDefault="00166928" w:rsidP="00F610EB">
      <w:pPr>
        <w:rPr>
          <w:rFonts w:ascii="Palatino Linotype" w:hAnsi="Palatino Linotype"/>
        </w:rPr>
      </w:pPr>
      <w:r w:rsidRPr="00B74402">
        <w:rPr>
          <w:rFonts w:ascii="Palatino Linotype" w:hAnsi="Palatino Linotype"/>
        </w:rPr>
        <w:tab/>
        <w:t xml:space="preserve">The irony here is that the women of Hobby Lobby may get all of the contraceptive coverage that ACA offers; but the company will not have to pay for it.  </w:t>
      </w:r>
    </w:p>
    <w:p w:rsidR="00F94A0A" w:rsidRPr="00B74402" w:rsidRDefault="00F94A0A" w:rsidP="00F610EB">
      <w:pPr>
        <w:rPr>
          <w:rFonts w:ascii="Palatino Linotype" w:hAnsi="Palatino Linotype"/>
        </w:rPr>
      </w:pPr>
    </w:p>
    <w:p w:rsidR="00C13E50" w:rsidRPr="00B74402" w:rsidRDefault="00F94A0A" w:rsidP="00F94A0A">
      <w:pPr>
        <w:rPr>
          <w:rFonts w:ascii="Palatino Linotype" w:hAnsi="Palatino Linotype"/>
          <w:b/>
        </w:rPr>
      </w:pPr>
      <w:r w:rsidRPr="00B74402">
        <w:rPr>
          <w:rFonts w:ascii="Palatino Linotype" w:hAnsi="Palatino Linotype"/>
          <w:b/>
        </w:rPr>
        <w:t>The Dissent</w:t>
      </w:r>
    </w:p>
    <w:p w:rsidR="00066B9F" w:rsidRPr="00B74402" w:rsidRDefault="00F94A0A" w:rsidP="00F94A0A">
      <w:pPr>
        <w:rPr>
          <w:rFonts w:ascii="Palatino Linotype" w:hAnsi="Palatino Linotype"/>
        </w:rPr>
      </w:pPr>
      <w:r w:rsidRPr="00B74402">
        <w:rPr>
          <w:rFonts w:ascii="Palatino Linotype" w:hAnsi="Palatino Linotype"/>
          <w:b/>
        </w:rPr>
        <w:tab/>
      </w:r>
      <w:r w:rsidRPr="00B74402">
        <w:rPr>
          <w:rFonts w:ascii="Palatino Linotype" w:hAnsi="Palatino Linotype"/>
        </w:rPr>
        <w:t xml:space="preserve">The dissent is nothing short of a brilliant essay by Justice Ruth Ginsberg.  Her </w:t>
      </w:r>
      <w:r w:rsidR="00C13E50" w:rsidRPr="00B74402">
        <w:rPr>
          <w:rFonts w:ascii="Palatino Linotype" w:hAnsi="Palatino Linotype"/>
        </w:rPr>
        <w:t xml:space="preserve">opening statement is worth quoting in full: </w:t>
      </w:r>
      <w:r w:rsidRPr="00B74402">
        <w:rPr>
          <w:rFonts w:ascii="Palatino Linotype" w:hAnsi="Palatino Linotype"/>
        </w:rPr>
        <w:t xml:space="preserve"> (Page 1 and 2 of her dissent). </w:t>
      </w:r>
    </w:p>
    <w:p w:rsidR="00066B9F" w:rsidRPr="00B74402" w:rsidRDefault="00066B9F" w:rsidP="00066B9F">
      <w:pPr>
        <w:pStyle w:val="CM15"/>
        <w:ind w:firstLine="220"/>
        <w:jc w:val="both"/>
        <w:rPr>
          <w:rFonts w:ascii="Palatino Linotype" w:hAnsi="Palatino Linotype"/>
        </w:rPr>
      </w:pPr>
    </w:p>
    <w:p w:rsidR="00066B9F" w:rsidRPr="00B74402" w:rsidRDefault="00066B9F" w:rsidP="00F94A0A">
      <w:pPr>
        <w:pStyle w:val="CM15"/>
        <w:ind w:left="720" w:firstLine="220"/>
        <w:jc w:val="both"/>
        <w:rPr>
          <w:rFonts w:ascii="Palatino Linotype" w:hAnsi="Palatino Linotype" w:cs="Century Schoolbook"/>
          <w:i/>
          <w:color w:val="000000"/>
        </w:rPr>
      </w:pPr>
      <w:r w:rsidRPr="00B74402">
        <w:rPr>
          <w:rFonts w:ascii="Palatino Linotype" w:hAnsi="Palatino Linotype" w:cs="Century Schoolbook"/>
          <w:i/>
          <w:color w:val="000000"/>
        </w:rPr>
        <w:t xml:space="preserve">“In a decision of startling breadth, the Court holds that commercial enterprises, including corporations, along with partnerships and sole proprietorships, can opt out of </w:t>
      </w:r>
      <w:r w:rsidRPr="00B74402">
        <w:rPr>
          <w:rFonts w:ascii="Palatino Linotype" w:hAnsi="Palatino Linotype" w:cs="Century Schoolbook"/>
          <w:i/>
          <w:color w:val="000000"/>
        </w:rPr>
        <w:lastRenderedPageBreak/>
        <w:t xml:space="preserve">any law (saving only tax laws) they judge incompatible with their sincerely held religious beliefs. See </w:t>
      </w:r>
      <w:r w:rsidRPr="00B74402">
        <w:rPr>
          <w:rFonts w:ascii="Palatino Linotype" w:hAnsi="Palatino Linotype" w:cs="Century Schoolbook"/>
          <w:i/>
          <w:iCs/>
          <w:color w:val="000000"/>
        </w:rPr>
        <w:t xml:space="preserve">ante, </w:t>
      </w:r>
      <w:r w:rsidRPr="00B74402">
        <w:rPr>
          <w:rFonts w:ascii="Palatino Linotype" w:hAnsi="Palatino Linotype" w:cs="Century Schoolbook"/>
          <w:i/>
          <w:color w:val="000000"/>
        </w:rPr>
        <w:t>at 16–49. Compelling governmental interests in uniform compliance with the law, and disadvantages that religion-based opt</w:t>
      </w:r>
      <w:r w:rsidRPr="00B74402">
        <w:rPr>
          <w:rFonts w:ascii="Palatino Linotype" w:hAnsi="Palatino Linotype" w:cs="Century Schoolbook"/>
          <w:i/>
          <w:color w:val="000000"/>
        </w:rPr>
        <w:softHyphen/>
        <w:t xml:space="preserve"> outs impose on others, hold no sway, the Court decides, at least when there is a “less restrictive alternative.” And such an alternative, the Court suggests</w:t>
      </w:r>
      <w:proofErr w:type="gramStart"/>
      <w:r w:rsidRPr="00B74402">
        <w:rPr>
          <w:rFonts w:ascii="Palatino Linotype" w:hAnsi="Palatino Linotype" w:cs="Century Schoolbook"/>
          <w:i/>
          <w:color w:val="000000"/>
        </w:rPr>
        <w:t>,</w:t>
      </w:r>
      <w:proofErr w:type="gramEnd"/>
      <w:r w:rsidRPr="00B74402">
        <w:rPr>
          <w:rFonts w:ascii="Palatino Linotype" w:hAnsi="Palatino Linotype" w:cs="Century Schoolbook"/>
          <w:i/>
          <w:color w:val="000000"/>
        </w:rPr>
        <w:t xml:space="preserve"> there always will be whenever, i</w:t>
      </w:r>
      <w:r w:rsidR="00F94A0A" w:rsidRPr="00B74402">
        <w:rPr>
          <w:rFonts w:ascii="Palatino Linotype" w:hAnsi="Palatino Linotype" w:cs="Century Schoolbook"/>
          <w:i/>
          <w:color w:val="000000"/>
        </w:rPr>
        <w:t xml:space="preserve">n lieu of tolling a </w:t>
      </w:r>
      <w:r w:rsidRPr="00B74402">
        <w:rPr>
          <w:rFonts w:ascii="Palatino Linotype" w:hAnsi="Palatino Linotype" w:cs="Century Schoolbook"/>
          <w:i/>
          <w:color w:val="000000"/>
        </w:rPr>
        <w:t xml:space="preserve">religion-based exemption, the government, </w:t>
      </w:r>
      <w:r w:rsidRPr="00B74402">
        <w:rPr>
          <w:rFonts w:ascii="Palatino Linotype" w:hAnsi="Palatino Linotype" w:cs="Century Schoolbook"/>
          <w:i/>
          <w:iCs/>
          <w:color w:val="000000"/>
        </w:rPr>
        <w:t xml:space="preserve">i.e., </w:t>
      </w:r>
      <w:r w:rsidRPr="00B74402">
        <w:rPr>
          <w:rFonts w:ascii="Palatino Linotype" w:hAnsi="Palatino Linotype" w:cs="Century Schoolbook"/>
          <w:i/>
          <w:color w:val="000000"/>
        </w:rPr>
        <w:t xml:space="preserve">the general public, can pick up the tab. See </w:t>
      </w:r>
      <w:r w:rsidRPr="00B74402">
        <w:rPr>
          <w:rFonts w:ascii="Palatino Linotype" w:hAnsi="Palatino Linotype" w:cs="Century Schoolbook"/>
          <w:i/>
          <w:iCs/>
          <w:color w:val="000000"/>
        </w:rPr>
        <w:t>ante</w:t>
      </w:r>
      <w:r w:rsidRPr="00B74402">
        <w:rPr>
          <w:rFonts w:ascii="Palatino Linotype" w:hAnsi="Palatino Linotype" w:cs="Century Schoolbook"/>
          <w:i/>
          <w:color w:val="000000"/>
        </w:rPr>
        <w:t>, at 41–43.</w:t>
      </w:r>
      <w:r w:rsidRPr="00B74402">
        <w:rPr>
          <w:rFonts w:ascii="Palatino Linotype" w:hAnsi="Palatino Linotype" w:cs="Century Schoolbook"/>
          <w:i/>
          <w:color w:val="000000"/>
          <w:position w:val="6"/>
          <w:vertAlign w:val="superscript"/>
        </w:rPr>
        <w:t xml:space="preserve">1 </w:t>
      </w:r>
    </w:p>
    <w:p w:rsidR="00066B9F" w:rsidRPr="00B74402" w:rsidRDefault="00066B9F" w:rsidP="00F94A0A">
      <w:pPr>
        <w:pStyle w:val="CM15"/>
        <w:ind w:left="720" w:firstLine="220"/>
        <w:jc w:val="both"/>
        <w:rPr>
          <w:rFonts w:ascii="Palatino Linotype" w:hAnsi="Palatino Linotype" w:cs="Century Schoolbook"/>
          <w:i/>
          <w:color w:val="000000"/>
        </w:rPr>
      </w:pPr>
      <w:r w:rsidRPr="00B74402">
        <w:rPr>
          <w:rFonts w:ascii="Palatino Linotype" w:hAnsi="Palatino Linotype" w:cs="Century Schoolbook"/>
          <w:i/>
          <w:color w:val="000000"/>
        </w:rPr>
        <w:t>The Court does not pretend that the First Amendment’s Free Exercise Clause demands religion-based accommoda</w:t>
      </w:r>
      <w:r w:rsidRPr="00B74402">
        <w:rPr>
          <w:rFonts w:ascii="Palatino Linotype" w:hAnsi="Palatino Linotype" w:cs="Century Schoolbook"/>
          <w:i/>
          <w:color w:val="000000"/>
        </w:rPr>
        <w:softHyphen/>
        <w:t>tions so extreme, for our decisions le</w:t>
      </w:r>
      <w:r w:rsidR="00F94A0A" w:rsidRPr="00B74402">
        <w:rPr>
          <w:rFonts w:ascii="Palatino Linotype" w:hAnsi="Palatino Linotype" w:cs="Century Schoolbook"/>
          <w:i/>
          <w:color w:val="000000"/>
        </w:rPr>
        <w:t xml:space="preserve">ave no doubt on that score. </w:t>
      </w:r>
      <w:r w:rsidRPr="00B74402">
        <w:rPr>
          <w:rFonts w:ascii="Palatino Linotype" w:hAnsi="Palatino Linotype" w:cs="Century Schoolbook"/>
          <w:i/>
          <w:color w:val="000000"/>
        </w:rPr>
        <w:t xml:space="preserve">Instead, the Court holds that Congress, in the Religious Freedom Restoration Act of 1993 (RFRA), 42 U. S. C. §2000bb </w:t>
      </w:r>
      <w:r w:rsidRPr="00B74402">
        <w:rPr>
          <w:rFonts w:ascii="Palatino Linotype" w:hAnsi="Palatino Linotype" w:cs="Century Schoolbook"/>
          <w:i/>
          <w:iCs/>
          <w:color w:val="000000"/>
        </w:rPr>
        <w:t>et seq.</w:t>
      </w:r>
      <w:r w:rsidRPr="00B74402">
        <w:rPr>
          <w:rFonts w:ascii="Palatino Linotype" w:hAnsi="Palatino Linotype" w:cs="Century Schoolbook"/>
          <w:i/>
          <w:color w:val="000000"/>
        </w:rPr>
        <w:t>, dictated the extraordinary religion-based exemptions today’s decision endorses. In the Court’s view, RFRA demands accommo</w:t>
      </w:r>
      <w:r w:rsidRPr="00B74402">
        <w:rPr>
          <w:rFonts w:ascii="Palatino Linotype" w:hAnsi="Palatino Linotype" w:cs="Century Schoolbook"/>
          <w:i/>
          <w:color w:val="000000"/>
        </w:rPr>
        <w:softHyphen/>
        <w:t>dation of a for-profit corporation’s religious beliefs no matter the impact that accommodation may have on third</w:t>
      </w:r>
      <w:r w:rsidR="00F94A0A" w:rsidRPr="00B74402">
        <w:rPr>
          <w:rFonts w:ascii="Palatino Linotype" w:hAnsi="Palatino Linotype" w:cs="Century Schoolbook"/>
          <w:i/>
          <w:color w:val="000000"/>
        </w:rPr>
        <w:t xml:space="preserve"> </w:t>
      </w:r>
      <w:r w:rsidRPr="00B74402">
        <w:rPr>
          <w:rFonts w:ascii="Palatino Linotype" w:hAnsi="Palatino Linotype" w:cs="Century Schoolbook"/>
          <w:i/>
          <w:color w:val="000000"/>
        </w:rPr>
        <w:t>parties who do not share the corporation owners’ religious faith—in these cases, thousands of women employed by Hobby Lobby and Conestoga or dependents of persons those corporations employ. Persuaded that Congress</w:t>
      </w:r>
      <w:r w:rsidR="00F94A0A" w:rsidRPr="00B74402">
        <w:rPr>
          <w:rFonts w:ascii="Palatino Linotype" w:hAnsi="Palatino Linotype" w:cs="Century Schoolbook"/>
          <w:i/>
          <w:color w:val="000000"/>
        </w:rPr>
        <w:t xml:space="preserve"> </w:t>
      </w:r>
      <w:r w:rsidR="00E159CF" w:rsidRPr="00B74402">
        <w:rPr>
          <w:rFonts w:ascii="Palatino Linotype" w:hAnsi="Palatino Linotype" w:cs="Century Schoolbook"/>
          <w:i/>
          <w:color w:val="000000"/>
        </w:rPr>
        <w:t>en</w:t>
      </w:r>
      <w:r w:rsidRPr="00B74402">
        <w:rPr>
          <w:rFonts w:ascii="Palatino Linotype" w:hAnsi="Palatino Linotype" w:cs="Century Schoolbook"/>
          <w:i/>
          <w:color w:val="000000"/>
        </w:rPr>
        <w:t>acted RFRA to serve a far less radical purpose, and mindful of the havoc the Court’s judgment can introduce, I dissent.</w:t>
      </w:r>
    </w:p>
    <w:p w:rsidR="00F94A0A" w:rsidRPr="00B74402" w:rsidRDefault="00F94A0A" w:rsidP="00F94A0A">
      <w:pPr>
        <w:rPr>
          <w:rFonts w:ascii="Palatino Linotype" w:hAnsi="Palatino Linotype"/>
        </w:rPr>
      </w:pPr>
    </w:p>
    <w:p w:rsidR="00F94A0A" w:rsidRPr="00B74402" w:rsidRDefault="00F94A0A" w:rsidP="00F94A0A">
      <w:pPr>
        <w:rPr>
          <w:rFonts w:ascii="Palatino Linotype" w:hAnsi="Palatino Linotype"/>
        </w:rPr>
      </w:pPr>
      <w:r w:rsidRPr="00B74402">
        <w:rPr>
          <w:rFonts w:ascii="Palatino Linotype" w:hAnsi="Palatino Linotype"/>
        </w:rPr>
        <w:t xml:space="preserve">She later points out that the majority decision does not even say that this accommodation is constitutional!  </w:t>
      </w:r>
    </w:p>
    <w:p w:rsidR="00F94A0A" w:rsidRPr="00B74402" w:rsidRDefault="00F94A0A" w:rsidP="00F94A0A">
      <w:pPr>
        <w:rPr>
          <w:rFonts w:ascii="Palatino Linotype" w:hAnsi="Palatino Linotype"/>
        </w:rPr>
      </w:pPr>
    </w:p>
    <w:p w:rsidR="00360D64" w:rsidRPr="00B74402" w:rsidRDefault="00360D64" w:rsidP="00F94A0A">
      <w:pPr>
        <w:rPr>
          <w:rFonts w:ascii="Palatino Linotype" w:hAnsi="Palatino Linotype"/>
          <w:b/>
        </w:rPr>
      </w:pPr>
      <w:r w:rsidRPr="00B74402">
        <w:rPr>
          <w:rFonts w:ascii="Palatino Linotype" w:hAnsi="Palatino Linotype"/>
          <w:b/>
        </w:rPr>
        <w:t>Some Interesting (and Disturbing) Statements</w:t>
      </w:r>
    </w:p>
    <w:p w:rsidR="00360D64" w:rsidRPr="00B74402" w:rsidRDefault="00360D64" w:rsidP="00F94A0A">
      <w:pPr>
        <w:rPr>
          <w:rFonts w:ascii="Palatino Linotype" w:hAnsi="Palatino Linotype"/>
        </w:rPr>
      </w:pPr>
    </w:p>
    <w:p w:rsidR="00360D64" w:rsidRPr="00B74402" w:rsidRDefault="00F94A0A" w:rsidP="00360D64">
      <w:pPr>
        <w:rPr>
          <w:rFonts w:ascii="Palatino Linotype" w:hAnsi="Palatino Linotype"/>
        </w:rPr>
      </w:pPr>
      <w:r w:rsidRPr="00B74402">
        <w:rPr>
          <w:rFonts w:ascii="Palatino Linotype" w:hAnsi="Palatino Linotype"/>
        </w:rPr>
        <w:tab/>
      </w:r>
      <w:r w:rsidR="00360D64" w:rsidRPr="00B74402">
        <w:rPr>
          <w:rFonts w:ascii="Palatino Linotype" w:hAnsi="Palatino Linotype"/>
        </w:rPr>
        <w:t>In attempting to limit the decision just to contraception coverage, the majority opinion offers some interesting insight into whose interests are important and whose interests are not. Here’s a quote about using religion for other kinds of discrimination</w:t>
      </w:r>
    </w:p>
    <w:p w:rsidR="00360D64" w:rsidRPr="00B74402" w:rsidRDefault="00360D64" w:rsidP="00360D64">
      <w:pPr>
        <w:pStyle w:val="CM15"/>
        <w:ind w:left="440" w:firstLine="220"/>
        <w:jc w:val="both"/>
        <w:rPr>
          <w:rFonts w:ascii="Palatino Linotype" w:hAnsi="Palatino Linotype" w:cs="Century Schoolbook"/>
          <w:i/>
          <w:color w:val="000000"/>
        </w:rPr>
      </w:pPr>
      <w:r w:rsidRPr="00B74402">
        <w:rPr>
          <w:rFonts w:ascii="Palatino Linotype" w:hAnsi="Palatino Linotype" w:cs="Century Schoolbook"/>
          <w:i/>
          <w:color w:val="000000"/>
        </w:rPr>
        <w:t>In any event, our decision in these cases is concerned solely with the contraceptive mandate. Our decision should not be understood to hold that an insurance</w:t>
      </w:r>
      <w:r w:rsidRPr="00B74402">
        <w:rPr>
          <w:rFonts w:ascii="Palatino Linotype" w:hAnsi="Palatino Linotype" w:cs="Century Schoolbook"/>
          <w:i/>
          <w:color w:val="000000"/>
        </w:rPr>
        <w:softHyphen/>
        <w:t xml:space="preserve"> coverage mandate must necessarily fa</w:t>
      </w:r>
      <w:r w:rsidR="00E159CF" w:rsidRPr="00B74402">
        <w:rPr>
          <w:rFonts w:ascii="Palatino Linotype" w:hAnsi="Palatino Linotype" w:cs="Century Schoolbook"/>
          <w:i/>
          <w:color w:val="000000"/>
        </w:rPr>
        <w:t>l</w:t>
      </w:r>
      <w:r w:rsidRPr="00B74402">
        <w:rPr>
          <w:rFonts w:ascii="Palatino Linotype" w:hAnsi="Palatino Linotype" w:cs="Century Schoolbook"/>
          <w:i/>
          <w:color w:val="000000"/>
        </w:rPr>
        <w:t>l</w:t>
      </w:r>
      <w:r w:rsidR="00E159CF" w:rsidRPr="00B74402">
        <w:rPr>
          <w:rFonts w:ascii="Palatino Linotype" w:hAnsi="Palatino Linotype" w:cs="Century Schoolbook"/>
          <w:i/>
          <w:color w:val="000000"/>
        </w:rPr>
        <w:t xml:space="preserve"> (sec)</w:t>
      </w:r>
      <w:r w:rsidRPr="00B74402">
        <w:rPr>
          <w:rFonts w:ascii="Palatino Linotype" w:hAnsi="Palatino Linotype" w:cs="Century Schoolbook"/>
          <w:i/>
          <w:color w:val="000000"/>
        </w:rPr>
        <w:t xml:space="preserve"> if it conflicts with an employer’s religious beliefs. Other coverage require</w:t>
      </w:r>
      <w:r w:rsidRPr="00B74402">
        <w:rPr>
          <w:rFonts w:ascii="Palatino Linotype" w:hAnsi="Palatino Linotype" w:cs="Century Schoolbook"/>
          <w:i/>
          <w:color w:val="000000"/>
        </w:rPr>
        <w:softHyphen/>
        <w:t>ments, such as immunizations, may be supported by dif</w:t>
      </w:r>
      <w:r w:rsidRPr="00B74402">
        <w:rPr>
          <w:rFonts w:ascii="Palatino Linotype" w:hAnsi="Palatino Linotype" w:cs="Century Schoolbook"/>
          <w:i/>
          <w:color w:val="000000"/>
        </w:rPr>
        <w:softHyphen/>
        <w:t xml:space="preserve">ferent interests (for example, the need to combat the spread of infectious diseases) and may involve different arguments about the least restrictive means of providing them. </w:t>
      </w:r>
    </w:p>
    <w:p w:rsidR="00360D64" w:rsidRPr="00B74402" w:rsidRDefault="00360D64" w:rsidP="00360D64">
      <w:pPr>
        <w:pStyle w:val="CM15"/>
        <w:ind w:left="440" w:firstLine="220"/>
        <w:jc w:val="both"/>
        <w:rPr>
          <w:rFonts w:ascii="Palatino Linotype" w:hAnsi="Palatino Linotype" w:cs="Century Schoolbook"/>
          <w:i/>
          <w:color w:val="000000"/>
        </w:rPr>
      </w:pPr>
      <w:r w:rsidRPr="00B74402">
        <w:rPr>
          <w:rFonts w:ascii="Palatino Linotype" w:hAnsi="Palatino Linotype" w:cs="Century Schoolbook"/>
          <w:i/>
          <w:color w:val="000000"/>
        </w:rPr>
        <w:t>The principal dissent raises the possibility that discrim</w:t>
      </w:r>
      <w:r w:rsidRPr="00B74402">
        <w:rPr>
          <w:rFonts w:ascii="Palatino Linotype" w:hAnsi="Palatino Linotype" w:cs="Century Schoolbook"/>
          <w:i/>
          <w:color w:val="000000"/>
        </w:rPr>
        <w:softHyphen/>
        <w:t xml:space="preserve">ination in hiring, for example on the basis of race, might be cloaked as religious practice to escape legal sanction. See </w:t>
      </w:r>
      <w:r w:rsidRPr="00B74402">
        <w:rPr>
          <w:rFonts w:ascii="Palatino Linotype" w:hAnsi="Palatino Linotype" w:cs="Century Schoolbook"/>
          <w:i/>
          <w:iCs/>
          <w:color w:val="000000"/>
        </w:rPr>
        <w:t>post</w:t>
      </w:r>
      <w:r w:rsidRPr="00B74402">
        <w:rPr>
          <w:rFonts w:ascii="Palatino Linotype" w:hAnsi="Palatino Linotype" w:cs="Century Schoolbook"/>
          <w:i/>
          <w:color w:val="000000"/>
        </w:rPr>
        <w:t>, at 32–33. Our decision today provides no such shield. The Government has a compelling interest in providing an equal opportunity to participate in the work</w:t>
      </w:r>
      <w:r w:rsidRPr="00B74402">
        <w:rPr>
          <w:rFonts w:ascii="Palatino Linotype" w:hAnsi="Palatino Linotype" w:cs="Century Schoolbook"/>
          <w:i/>
          <w:color w:val="000000"/>
        </w:rPr>
        <w:softHyphen/>
        <w:t>force without regard to race, and prohibitions on racial discrimination are precisely tailored to achieve that criti</w:t>
      </w:r>
      <w:r w:rsidRPr="00B74402">
        <w:rPr>
          <w:rFonts w:ascii="Palatino Linotype" w:hAnsi="Palatino Linotype" w:cs="Century Schoolbook"/>
          <w:i/>
          <w:color w:val="000000"/>
        </w:rPr>
        <w:softHyphen/>
        <w:t xml:space="preserve">cal goal. Page 46 </w:t>
      </w:r>
    </w:p>
    <w:p w:rsidR="00360D64" w:rsidRPr="00B74402" w:rsidRDefault="00360D64" w:rsidP="00F94A0A">
      <w:pPr>
        <w:rPr>
          <w:rFonts w:ascii="Palatino Linotype" w:hAnsi="Palatino Linotype"/>
        </w:rPr>
      </w:pPr>
    </w:p>
    <w:p w:rsidR="00360D64" w:rsidRPr="00B74402" w:rsidRDefault="00360D64" w:rsidP="00F94A0A">
      <w:pPr>
        <w:rPr>
          <w:rFonts w:ascii="Palatino Linotype" w:hAnsi="Palatino Linotype"/>
        </w:rPr>
      </w:pPr>
      <w:r w:rsidRPr="00B74402">
        <w:rPr>
          <w:rFonts w:ascii="Palatino Linotype" w:hAnsi="Palatino Linotype"/>
        </w:rPr>
        <w:tab/>
        <w:t xml:space="preserve">Although this statement was intended to limit and constrain the ruling, women should take no solace in it as it clearly says that women’s </w:t>
      </w:r>
      <w:proofErr w:type="gramStart"/>
      <w:r w:rsidRPr="00B74402">
        <w:rPr>
          <w:rFonts w:ascii="Palatino Linotype" w:hAnsi="Palatino Linotype"/>
        </w:rPr>
        <w:t>interests,</w:t>
      </w:r>
      <w:proofErr w:type="gramEnd"/>
      <w:r w:rsidRPr="00B74402">
        <w:rPr>
          <w:rFonts w:ascii="Palatino Linotype" w:hAnsi="Palatino Linotype"/>
        </w:rPr>
        <w:t xml:space="preserve"> and the religious interests of women who work for this company are not important enough to be considered.  As Cecile </w:t>
      </w:r>
      <w:proofErr w:type="gramStart"/>
      <w:r w:rsidRPr="00B74402">
        <w:rPr>
          <w:rFonts w:ascii="Palatino Linotype" w:hAnsi="Palatino Linotype"/>
        </w:rPr>
        <w:t>Richards  said</w:t>
      </w:r>
      <w:proofErr w:type="gramEnd"/>
      <w:r w:rsidRPr="00B74402">
        <w:rPr>
          <w:rFonts w:ascii="Palatino Linotype" w:hAnsi="Palatino Linotype"/>
        </w:rPr>
        <w:t>, “It is better  today to be a corporation than to be a woman.”  Birth control is somehow different than other interests and it is clearly a lesser interest.</w:t>
      </w:r>
      <w:r w:rsidR="00E159CF" w:rsidRPr="00B74402">
        <w:rPr>
          <w:rFonts w:ascii="Palatino Linotype" w:hAnsi="Palatino Linotype"/>
        </w:rPr>
        <w:t xml:space="preserve">  The male majority on the court seemed unaware that a woman’s ability to participate fully in the work force depends heavily on her ability to control her own reproduction.  </w:t>
      </w:r>
    </w:p>
    <w:p w:rsidR="00360D64" w:rsidRPr="00B74402" w:rsidRDefault="00360D64" w:rsidP="00F94A0A">
      <w:pPr>
        <w:rPr>
          <w:rFonts w:ascii="Palatino Linotype" w:hAnsi="Palatino Linotype"/>
        </w:rPr>
      </w:pPr>
    </w:p>
    <w:p w:rsidR="00360D64" w:rsidRPr="00B74402" w:rsidRDefault="00360D64" w:rsidP="00F94A0A">
      <w:pPr>
        <w:rPr>
          <w:rFonts w:ascii="Palatino Linotype" w:hAnsi="Palatino Linotype"/>
          <w:b/>
        </w:rPr>
      </w:pPr>
      <w:r w:rsidRPr="00B74402">
        <w:rPr>
          <w:rFonts w:ascii="Palatino Linotype" w:hAnsi="Palatino Linotype"/>
          <w:b/>
        </w:rPr>
        <w:t>What</w:t>
      </w:r>
      <w:r w:rsidR="00E159CF" w:rsidRPr="00B74402">
        <w:rPr>
          <w:rFonts w:ascii="Palatino Linotype" w:hAnsi="Palatino Linotype"/>
          <w:b/>
        </w:rPr>
        <w:t xml:space="preserve"> “Less Restrictive Alternatives”? </w:t>
      </w:r>
    </w:p>
    <w:p w:rsidR="00360D64" w:rsidRPr="00B74402" w:rsidRDefault="00360D64" w:rsidP="00F94A0A">
      <w:pPr>
        <w:rPr>
          <w:rFonts w:ascii="Palatino Linotype" w:hAnsi="Palatino Linotype"/>
        </w:rPr>
      </w:pPr>
      <w:r w:rsidRPr="00B74402">
        <w:rPr>
          <w:rFonts w:ascii="Palatino Linotype" w:hAnsi="Palatino Linotype"/>
          <w:b/>
        </w:rPr>
        <w:tab/>
      </w:r>
      <w:r w:rsidRPr="00B74402">
        <w:rPr>
          <w:rFonts w:ascii="Palatino Linotype" w:hAnsi="Palatino Linotype"/>
        </w:rPr>
        <w:t>The ruling says that there are less restrictive alternatives, but what are these?  The government has not agreed to pay these costs, and has not at this time extended the H</w:t>
      </w:r>
      <w:r w:rsidR="00E159CF" w:rsidRPr="00B74402">
        <w:rPr>
          <w:rFonts w:ascii="Palatino Linotype" w:hAnsi="Palatino Linotype"/>
        </w:rPr>
        <w:t>HS</w:t>
      </w:r>
      <w:r w:rsidRPr="00B74402">
        <w:rPr>
          <w:rFonts w:ascii="Palatino Linotype" w:hAnsi="Palatino Linotype"/>
        </w:rPr>
        <w:t xml:space="preserve"> ruling exempting churches and religious non profits to for-profit corporations.  Will the women of Hobby Lobby receive these benefits?    That remains to be seen.</w:t>
      </w:r>
    </w:p>
    <w:p w:rsidR="00360D64" w:rsidRPr="00B74402" w:rsidRDefault="00360D64" w:rsidP="00F94A0A">
      <w:pPr>
        <w:rPr>
          <w:rFonts w:ascii="Palatino Linotype" w:hAnsi="Palatino Linotype"/>
        </w:rPr>
      </w:pPr>
      <w:r w:rsidRPr="00B74402">
        <w:rPr>
          <w:rFonts w:ascii="Palatino Linotype" w:hAnsi="Palatino Linotype"/>
        </w:rPr>
        <w:tab/>
        <w:t>Justice Ginsberg says that this ruling will open the flood gates so that many other companies that are “closely held” corporations can opt out of this portion of the ACA.  The court did not endorse any specific definition of “closely held” but</w:t>
      </w:r>
      <w:r w:rsidR="00166928" w:rsidRPr="00B74402">
        <w:rPr>
          <w:rFonts w:ascii="Palatino Linotype" w:hAnsi="Palatino Linotype"/>
        </w:rPr>
        <w:t xml:space="preserve"> the IRS defines it as </w:t>
      </w:r>
      <w:proofErr w:type="gramStart"/>
      <w:r w:rsidR="00166928" w:rsidRPr="00B74402">
        <w:rPr>
          <w:rFonts w:ascii="Palatino Linotype" w:hAnsi="Palatino Linotype"/>
        </w:rPr>
        <w:t>having  five</w:t>
      </w:r>
      <w:proofErr w:type="gramEnd"/>
      <w:r w:rsidR="00166928" w:rsidRPr="00B74402">
        <w:rPr>
          <w:rFonts w:ascii="Palatino Linotype" w:hAnsi="Palatino Linotype"/>
        </w:rPr>
        <w:t xml:space="preserve"> or fewer  stockholders who own 50% or more of the company.  </w:t>
      </w:r>
    </w:p>
    <w:p w:rsidR="00166928" w:rsidRPr="00B74402" w:rsidRDefault="00166928" w:rsidP="00F94A0A">
      <w:pPr>
        <w:rPr>
          <w:rFonts w:ascii="Palatino Linotype" w:hAnsi="Palatino Linotype"/>
        </w:rPr>
      </w:pPr>
      <w:r w:rsidRPr="00B74402">
        <w:rPr>
          <w:rFonts w:ascii="Palatino Linotype" w:hAnsi="Palatino Linotype"/>
        </w:rPr>
        <w:tab/>
        <w:t xml:space="preserve">Another 70 or so companies also are suing trying to not have to include the contraceptive coverage.  </w:t>
      </w:r>
    </w:p>
    <w:p w:rsidR="00166928" w:rsidRPr="00B74402" w:rsidRDefault="00166928" w:rsidP="00F94A0A">
      <w:pPr>
        <w:rPr>
          <w:rFonts w:ascii="Palatino Linotype" w:hAnsi="Palatino Linotype"/>
        </w:rPr>
      </w:pPr>
    </w:p>
    <w:p w:rsidR="00166928" w:rsidRPr="00B74402" w:rsidRDefault="00166928" w:rsidP="00F94A0A">
      <w:pPr>
        <w:rPr>
          <w:rFonts w:ascii="Palatino Linotype" w:hAnsi="Palatino Linotype"/>
          <w:b/>
        </w:rPr>
      </w:pPr>
      <w:r w:rsidRPr="00B74402">
        <w:rPr>
          <w:rFonts w:ascii="Palatino Linotype" w:hAnsi="Palatino Linotype"/>
          <w:b/>
        </w:rPr>
        <w:t>Where Does It Stop?</w:t>
      </w:r>
    </w:p>
    <w:p w:rsidR="00A8467D" w:rsidRPr="00B74402" w:rsidRDefault="00166928" w:rsidP="00F94A0A">
      <w:pPr>
        <w:rPr>
          <w:rFonts w:ascii="Palatino Linotype" w:hAnsi="Palatino Linotype"/>
          <w:b/>
        </w:rPr>
      </w:pPr>
      <w:r w:rsidRPr="00B74402">
        <w:rPr>
          <w:rFonts w:ascii="Palatino Linotype" w:hAnsi="Palatino Linotype"/>
          <w:b/>
        </w:rPr>
        <w:tab/>
      </w:r>
    </w:p>
    <w:p w:rsidR="00A8467D" w:rsidRPr="00B74402" w:rsidRDefault="00A8467D" w:rsidP="00F94A0A">
      <w:pPr>
        <w:rPr>
          <w:rFonts w:ascii="Palatino Linotype" w:hAnsi="Palatino Linotype"/>
          <w:b/>
        </w:rPr>
      </w:pPr>
      <w:r w:rsidRPr="00B74402">
        <w:rPr>
          <w:rFonts w:ascii="Palatino Linotype" w:hAnsi="Palatino Linotype"/>
        </w:rPr>
        <w:tab/>
        <w:t>An even more troubling possibility is that this is not the end game.  Will companies be able to claim that it is a violation of their religious expression for the government or the insurance companies to offer this contraception coverage to their employees?  The company policy does not include it, but if the company offers health insurance at all, the government or the insurance companies will be required to provide what the company will not.   Thus, the company might claim that the accommodation itself is still a “burden” by requiring them to indirectly contribute to the “sinfulness” of their employees.</w:t>
      </w:r>
    </w:p>
    <w:p w:rsidR="00A8467D" w:rsidRPr="00B74402" w:rsidRDefault="00A8467D" w:rsidP="00F94A0A">
      <w:pPr>
        <w:rPr>
          <w:rFonts w:ascii="Palatino Linotype" w:hAnsi="Palatino Linotype"/>
          <w:b/>
        </w:rPr>
      </w:pPr>
    </w:p>
    <w:p w:rsidR="00166928" w:rsidRPr="00B74402" w:rsidRDefault="00166928" w:rsidP="00F94A0A">
      <w:pPr>
        <w:rPr>
          <w:rFonts w:ascii="Palatino Linotype" w:hAnsi="Palatino Linotype"/>
        </w:rPr>
      </w:pPr>
      <w:r w:rsidRPr="00B74402">
        <w:rPr>
          <w:rFonts w:ascii="Palatino Linotype" w:hAnsi="Palatino Linotype"/>
        </w:rPr>
        <w:t>Her</w:t>
      </w:r>
      <w:r w:rsidR="00A8467D" w:rsidRPr="00B74402">
        <w:rPr>
          <w:rFonts w:ascii="Palatino Linotype" w:hAnsi="Palatino Linotype"/>
        </w:rPr>
        <w:t>e is how Justice Ginsberg answers the question of where this stops:</w:t>
      </w:r>
      <w:r w:rsidRPr="00B74402">
        <w:rPr>
          <w:rFonts w:ascii="Palatino Linotype" w:hAnsi="Palatino Linotype"/>
        </w:rPr>
        <w:t xml:space="preserve"> </w:t>
      </w:r>
    </w:p>
    <w:p w:rsidR="00360D64" w:rsidRPr="00B74402" w:rsidRDefault="00360D64" w:rsidP="00F94A0A">
      <w:pPr>
        <w:rPr>
          <w:rFonts w:ascii="Palatino Linotype" w:hAnsi="Palatino Linotype"/>
        </w:rPr>
      </w:pPr>
    </w:p>
    <w:p w:rsidR="00166928" w:rsidRPr="00B74402" w:rsidRDefault="00166928" w:rsidP="00166928">
      <w:pPr>
        <w:pStyle w:val="CM15"/>
        <w:ind w:left="720" w:firstLine="220"/>
        <w:jc w:val="both"/>
        <w:rPr>
          <w:rFonts w:ascii="Palatino Linotype" w:hAnsi="Palatino Linotype" w:cs="Century Schoolbook"/>
          <w:i/>
          <w:color w:val="000000"/>
        </w:rPr>
      </w:pPr>
      <w:r w:rsidRPr="00B74402">
        <w:rPr>
          <w:rFonts w:ascii="Palatino Linotype" w:hAnsi="Palatino Linotype" w:cs="Century Schoolbook"/>
          <w:i/>
          <w:color w:val="000000"/>
        </w:rPr>
        <w:t>And where is the stopping point to the “let the govern</w:t>
      </w:r>
      <w:r w:rsidRPr="00B74402">
        <w:rPr>
          <w:rFonts w:ascii="Palatino Linotype" w:hAnsi="Palatino Linotype" w:cs="Century Schoolbook"/>
          <w:i/>
          <w:color w:val="000000"/>
        </w:rPr>
        <w:softHyphen/>
        <w:t xml:space="preserve">ment pay” alternative? Suppose an employer’s sincerely held religious belief is offended by health coverage of vaccines, or paying the minimum wage, see </w:t>
      </w:r>
      <w:r w:rsidRPr="00B74402">
        <w:rPr>
          <w:rFonts w:ascii="Palatino Linotype" w:hAnsi="Palatino Linotype" w:cs="Century Schoolbook"/>
          <w:i/>
          <w:iCs/>
          <w:color w:val="000000"/>
        </w:rPr>
        <w:t xml:space="preserve">Tony and Susan Alamo Foundation </w:t>
      </w:r>
      <w:r w:rsidRPr="00B74402">
        <w:rPr>
          <w:rFonts w:ascii="Palatino Linotype" w:hAnsi="Palatino Linotype" w:cs="Century Schoolbook"/>
          <w:i/>
          <w:color w:val="000000"/>
        </w:rPr>
        <w:t xml:space="preserve">v. </w:t>
      </w:r>
      <w:r w:rsidRPr="00B74402">
        <w:rPr>
          <w:rFonts w:ascii="Palatino Linotype" w:hAnsi="Palatino Linotype" w:cs="Century Schoolbook"/>
          <w:i/>
          <w:iCs/>
          <w:color w:val="000000"/>
        </w:rPr>
        <w:t>Secretary of Labor</w:t>
      </w:r>
      <w:r w:rsidRPr="00B74402">
        <w:rPr>
          <w:rFonts w:ascii="Palatino Linotype" w:hAnsi="Palatino Linotype" w:cs="Century Schoolbook"/>
          <w:i/>
          <w:color w:val="000000"/>
        </w:rPr>
        <w:t>, 471 U. S. 290, 303 (1985), or according women equal pay for sub</w:t>
      </w:r>
      <w:r w:rsidRPr="00B74402">
        <w:rPr>
          <w:rFonts w:ascii="Palatino Linotype" w:hAnsi="Palatino Linotype" w:cs="Century Schoolbook"/>
          <w:i/>
          <w:color w:val="000000"/>
        </w:rPr>
        <w:softHyphen/>
        <w:t xml:space="preserve">stantially similar work, see </w:t>
      </w:r>
      <w:r w:rsidRPr="00B74402">
        <w:rPr>
          <w:rFonts w:ascii="Palatino Linotype" w:hAnsi="Palatino Linotype" w:cs="Century Schoolbook"/>
          <w:i/>
          <w:iCs/>
          <w:color w:val="000000"/>
        </w:rPr>
        <w:t xml:space="preserve">Dole </w:t>
      </w:r>
      <w:r w:rsidRPr="00B74402">
        <w:rPr>
          <w:rFonts w:ascii="Palatino Linotype" w:hAnsi="Palatino Linotype" w:cs="Century Schoolbook"/>
          <w:i/>
          <w:color w:val="000000"/>
        </w:rPr>
        <w:t xml:space="preserve">v. </w:t>
      </w:r>
      <w:r w:rsidRPr="00B74402">
        <w:rPr>
          <w:rFonts w:ascii="Palatino Linotype" w:hAnsi="Palatino Linotype" w:cs="Century Schoolbook"/>
          <w:i/>
          <w:iCs/>
          <w:color w:val="000000"/>
        </w:rPr>
        <w:t>Shenandoah Baptist Church</w:t>
      </w:r>
      <w:r w:rsidRPr="00B74402">
        <w:rPr>
          <w:rFonts w:ascii="Palatino Linotype" w:hAnsi="Palatino Linotype" w:cs="Century Schoolbook"/>
          <w:i/>
          <w:color w:val="000000"/>
        </w:rPr>
        <w:t xml:space="preserve">, 899 F. 2d 1389, 1392 (CA4 1990)? Does it rank </w:t>
      </w:r>
      <w:r w:rsidRPr="00B74402">
        <w:rPr>
          <w:rFonts w:ascii="Palatino Linotype" w:hAnsi="Palatino Linotype" w:cs="Century Schoolbook"/>
          <w:i/>
          <w:color w:val="000000"/>
        </w:rPr>
        <w:lastRenderedPageBreak/>
        <w:t>as a less restrictive alternative to require the government to provide the money or benefit to which the employer has a religion-based objection?</w:t>
      </w:r>
      <w:r w:rsidRPr="00B74402">
        <w:rPr>
          <w:rFonts w:ascii="Palatino Linotype" w:hAnsi="Palatino Linotype" w:cs="Century Schoolbook"/>
          <w:i/>
          <w:color w:val="000000"/>
          <w:position w:val="6"/>
          <w:vertAlign w:val="superscript"/>
        </w:rPr>
        <w:t xml:space="preserve">26 </w:t>
      </w:r>
      <w:r w:rsidRPr="00B74402">
        <w:rPr>
          <w:rFonts w:ascii="Palatino Linotype" w:hAnsi="Palatino Linotype" w:cs="Century Schoolbook"/>
          <w:i/>
          <w:color w:val="000000"/>
        </w:rPr>
        <w:t xml:space="preserve">Because the Court cannot easily answer that question, it proposes something else: Extension to commercial enterprises of the accommodation already afforded to nonprofit religion-based organizations. See </w:t>
      </w:r>
      <w:r w:rsidRPr="00B74402">
        <w:rPr>
          <w:rFonts w:ascii="Palatino Linotype" w:hAnsi="Palatino Linotype" w:cs="Century Schoolbook"/>
          <w:i/>
          <w:iCs/>
          <w:color w:val="000000"/>
        </w:rPr>
        <w:t xml:space="preserve">ante, </w:t>
      </w:r>
      <w:r w:rsidRPr="00B74402">
        <w:rPr>
          <w:rFonts w:ascii="Palatino Linotype" w:hAnsi="Palatino Linotype" w:cs="Century Schoolbook"/>
          <w:i/>
          <w:color w:val="000000"/>
        </w:rPr>
        <w:t xml:space="preserve">at 3–4, 9–10, 43–45. “At a minimum,” according to the Court, such an approach would not “impinge </w:t>
      </w:r>
      <w:proofErr w:type="gramStart"/>
      <w:r w:rsidRPr="00B74402">
        <w:rPr>
          <w:rFonts w:ascii="Palatino Linotype" w:hAnsi="Palatino Linotype" w:cs="Century Schoolbook"/>
          <w:i/>
          <w:color w:val="000000"/>
        </w:rPr>
        <w:t>on[</w:t>
      </w:r>
      <w:proofErr w:type="gramEnd"/>
      <w:r w:rsidRPr="00B74402">
        <w:rPr>
          <w:rFonts w:ascii="Palatino Linotype" w:hAnsi="Palatino Linotype" w:cs="Century Schoolbook"/>
          <w:i/>
          <w:color w:val="000000"/>
        </w:rPr>
        <w:t xml:space="preserve">Hobby Lobby’s and Conestoga’s] religious belief.” </w:t>
      </w:r>
      <w:r w:rsidRPr="00B74402">
        <w:rPr>
          <w:rFonts w:ascii="Palatino Linotype" w:hAnsi="Palatino Linotype" w:cs="Century Schoolbook"/>
          <w:i/>
          <w:iCs/>
          <w:color w:val="000000"/>
        </w:rPr>
        <w:t xml:space="preserve">Ante, </w:t>
      </w:r>
      <w:r w:rsidRPr="00B74402">
        <w:rPr>
          <w:rFonts w:ascii="Palatino Linotype" w:hAnsi="Palatino Linotype" w:cs="Century Schoolbook"/>
          <w:i/>
          <w:color w:val="000000"/>
        </w:rPr>
        <w:t>at 44. I have already discussed the “special solicitude” gen</w:t>
      </w:r>
      <w:r w:rsidRPr="00B74402">
        <w:rPr>
          <w:rFonts w:ascii="Palatino Linotype" w:hAnsi="Palatino Linotype" w:cs="Century Schoolbook"/>
          <w:i/>
          <w:color w:val="000000"/>
        </w:rPr>
        <w:softHyphen/>
        <w:t>erally accorded nonprofit religion-based organizations that exist to serve a community of believers, solicitude never before accorded to commercial enterprises comprising employees of diverse faiths.</w:t>
      </w:r>
    </w:p>
    <w:p w:rsidR="00360D64" w:rsidRPr="00B74402" w:rsidRDefault="00360D64" w:rsidP="00F94A0A">
      <w:pPr>
        <w:rPr>
          <w:rFonts w:ascii="Palatino Linotype" w:hAnsi="Palatino Linotype"/>
        </w:rPr>
      </w:pPr>
    </w:p>
    <w:p w:rsidR="00F94A0A" w:rsidRPr="00B74402" w:rsidRDefault="00360D64" w:rsidP="00F94A0A">
      <w:pPr>
        <w:rPr>
          <w:rFonts w:ascii="Palatino Linotype" w:hAnsi="Palatino Linotype"/>
          <w:b/>
        </w:rPr>
      </w:pPr>
      <w:r w:rsidRPr="00B74402">
        <w:rPr>
          <w:rFonts w:ascii="Palatino Linotype" w:hAnsi="Palatino Linotype"/>
        </w:rPr>
        <w:t xml:space="preserve">  </w:t>
      </w:r>
      <w:r w:rsidR="004B3379" w:rsidRPr="00B74402">
        <w:rPr>
          <w:rFonts w:ascii="Palatino Linotype" w:hAnsi="Palatino Linotype"/>
          <w:b/>
        </w:rPr>
        <w:t>The Final Word</w:t>
      </w:r>
    </w:p>
    <w:p w:rsidR="004B3379" w:rsidRPr="00B74402" w:rsidRDefault="004B3379" w:rsidP="00F94A0A">
      <w:pPr>
        <w:rPr>
          <w:rFonts w:ascii="Palatino Linotype" w:hAnsi="Palatino Linotype"/>
        </w:rPr>
      </w:pPr>
      <w:r w:rsidRPr="00B74402">
        <w:rPr>
          <w:rFonts w:ascii="Palatino Linotype" w:hAnsi="Palatino Linotype"/>
          <w:b/>
        </w:rPr>
        <w:tab/>
      </w:r>
      <w:r w:rsidRPr="00B74402">
        <w:rPr>
          <w:rFonts w:ascii="Palatino Linotype" w:hAnsi="Palatino Linotype"/>
        </w:rPr>
        <w:t xml:space="preserve">Mother Jones picked out what it believes are the 8 best things said by </w:t>
      </w:r>
      <w:r w:rsidR="00A8467D" w:rsidRPr="00B74402">
        <w:rPr>
          <w:rFonts w:ascii="Palatino Linotype" w:hAnsi="Palatino Linotype"/>
        </w:rPr>
        <w:t>J</w:t>
      </w:r>
      <w:r w:rsidRPr="00B74402">
        <w:rPr>
          <w:rFonts w:ascii="Palatino Linotype" w:hAnsi="Palatino Linotype"/>
        </w:rPr>
        <w:t>ustice Ginsberg in her dissent</w:t>
      </w:r>
    </w:p>
    <w:p w:rsidR="00E03B79" w:rsidRPr="00B74402" w:rsidRDefault="004B3379" w:rsidP="004B3379">
      <w:pPr>
        <w:spacing w:before="100" w:beforeAutospacing="1" w:after="100" w:afterAutospacing="1"/>
        <w:rPr>
          <w:rFonts w:ascii="Palatino Linotype" w:eastAsia="Times New Roman" w:hAnsi="Palatino Linotype"/>
        </w:rPr>
      </w:pPr>
      <w:r w:rsidRPr="00B74402">
        <w:rPr>
          <w:rFonts w:ascii="Palatino Linotype" w:eastAsia="Times New Roman" w:hAnsi="Palatino Linotype"/>
        </w:rPr>
        <w:t xml:space="preserve">Here are </w:t>
      </w:r>
      <w:r w:rsidR="00E03B79" w:rsidRPr="00B74402">
        <w:rPr>
          <w:rFonts w:ascii="Palatino Linotype" w:eastAsia="Times New Roman" w:hAnsi="Palatino Linotype"/>
        </w:rPr>
        <w:t xml:space="preserve">eight best </w:t>
      </w:r>
      <w:r w:rsidRPr="00B74402">
        <w:rPr>
          <w:rFonts w:ascii="Palatino Linotype" w:eastAsia="Times New Roman" w:hAnsi="Palatino Linotype"/>
        </w:rPr>
        <w:t xml:space="preserve">quotes from Ginsburg's dissent in </w:t>
      </w:r>
      <w:r w:rsidRPr="00B74402">
        <w:rPr>
          <w:rFonts w:ascii="Palatino Linotype" w:eastAsia="Times New Roman" w:hAnsi="Palatino Linotype"/>
          <w:iCs/>
        </w:rPr>
        <w:t>Burwell v. Hobby Lobby</w:t>
      </w:r>
      <w:r w:rsidRPr="00B74402">
        <w:rPr>
          <w:rFonts w:ascii="Palatino Linotype" w:eastAsia="Times New Roman" w:hAnsi="Palatino Linotype"/>
        </w:rPr>
        <w:t>:</w:t>
      </w:r>
    </w:p>
    <w:p w:rsidR="00E03B79" w:rsidRPr="00B74402" w:rsidRDefault="00E03B79" w:rsidP="00E03B79">
      <w:pPr>
        <w:pStyle w:val="ListParagraph"/>
        <w:numPr>
          <w:ilvl w:val="0"/>
          <w:numId w:val="2"/>
        </w:numPr>
        <w:spacing w:before="100" w:beforeAutospacing="1" w:after="100" w:afterAutospacing="1"/>
        <w:rPr>
          <w:rFonts w:ascii="Palatino Linotype" w:eastAsia="Times New Roman" w:hAnsi="Palatino Linotype"/>
        </w:rPr>
      </w:pPr>
      <w:r w:rsidRPr="00B74402">
        <w:rPr>
          <w:rFonts w:ascii="Palatino Linotype" w:hAnsi="Palatino Linotype" w:cs="Century Schoolbook"/>
          <w:i/>
          <w:color w:val="000000"/>
        </w:rPr>
        <w:t>“In a decision of startling breadth, the Court holds that commercial enterprises, including corporations, along with partnerships and sole proprietorships, can opt out of any law (saving only tax laws) they judge incompatible with their sincerely held religious beliefs.</w:t>
      </w:r>
    </w:p>
    <w:p w:rsidR="004B3379" w:rsidRPr="00B74402" w:rsidRDefault="004B3379" w:rsidP="004B3379">
      <w:pPr>
        <w:numPr>
          <w:ilvl w:val="0"/>
          <w:numId w:val="1"/>
        </w:numPr>
        <w:tabs>
          <w:tab w:val="clear" w:pos="720"/>
          <w:tab w:val="num" w:pos="1800"/>
        </w:tabs>
        <w:ind w:left="1080"/>
        <w:rPr>
          <w:rFonts w:ascii="Palatino Linotype" w:eastAsia="Times New Roman" w:hAnsi="Palatino Linotype"/>
          <w:i/>
        </w:rPr>
      </w:pPr>
      <w:r w:rsidRPr="00B74402">
        <w:rPr>
          <w:rFonts w:ascii="Palatino Linotype" w:eastAsia="Times New Roman" w:hAnsi="Palatino Linotype"/>
          <w:i/>
        </w:rPr>
        <w:t>"The exemption sought by Hobby Lobby and Conestoga would…deny legions of women who do not hold their employers' beliefs access to contraceptive coverage"</w:t>
      </w:r>
    </w:p>
    <w:p w:rsidR="00E03B79" w:rsidRPr="00B74402" w:rsidRDefault="00E03B79" w:rsidP="00E03B79">
      <w:pPr>
        <w:ind w:left="1080"/>
        <w:rPr>
          <w:rFonts w:ascii="Palatino Linotype" w:eastAsia="Times New Roman" w:hAnsi="Palatino Linotype"/>
          <w:i/>
        </w:rPr>
      </w:pPr>
    </w:p>
    <w:p w:rsidR="004B3379" w:rsidRPr="00B74402" w:rsidRDefault="004B3379" w:rsidP="004B3379">
      <w:pPr>
        <w:numPr>
          <w:ilvl w:val="0"/>
          <w:numId w:val="1"/>
        </w:numPr>
        <w:tabs>
          <w:tab w:val="clear" w:pos="720"/>
          <w:tab w:val="num" w:pos="1800"/>
        </w:tabs>
        <w:ind w:left="1080"/>
        <w:rPr>
          <w:rFonts w:ascii="Palatino Linotype" w:eastAsia="Times New Roman" w:hAnsi="Palatino Linotype"/>
          <w:i/>
        </w:rPr>
      </w:pPr>
      <w:r w:rsidRPr="00B74402">
        <w:rPr>
          <w:rFonts w:ascii="Palatino Linotype" w:eastAsia="Times New Roman" w:hAnsi="Palatino Linotype"/>
          <w:i/>
        </w:rPr>
        <w:t>"Religious organizations exist to foster the interests of persons subscribing to the same religious faith. Not so of for-profit corporations. Workers who sustain the operations of those corporations commonly are not drawn from one religious community."</w:t>
      </w:r>
    </w:p>
    <w:p w:rsidR="00E03B79" w:rsidRPr="00B74402" w:rsidRDefault="00E03B79" w:rsidP="00E03B79">
      <w:pPr>
        <w:ind w:left="1080"/>
        <w:rPr>
          <w:rFonts w:ascii="Palatino Linotype" w:eastAsia="Times New Roman" w:hAnsi="Palatino Linotype"/>
          <w:i/>
        </w:rPr>
      </w:pPr>
    </w:p>
    <w:p w:rsidR="004B3379" w:rsidRPr="00B74402" w:rsidRDefault="004B3379" w:rsidP="004B3379">
      <w:pPr>
        <w:numPr>
          <w:ilvl w:val="0"/>
          <w:numId w:val="1"/>
        </w:numPr>
        <w:tabs>
          <w:tab w:val="clear" w:pos="720"/>
          <w:tab w:val="num" w:pos="1800"/>
        </w:tabs>
        <w:ind w:left="1080"/>
        <w:rPr>
          <w:rFonts w:ascii="Palatino Linotype" w:eastAsia="Times New Roman" w:hAnsi="Palatino Linotype"/>
          <w:i/>
        </w:rPr>
      </w:pPr>
      <w:r w:rsidRPr="00B74402">
        <w:rPr>
          <w:rFonts w:ascii="Palatino Linotype" w:eastAsia="Times New Roman" w:hAnsi="Palatino Linotype"/>
          <w:i/>
        </w:rPr>
        <w:t>"Any decision to use contraceptives made by a woman covered under Hobby Lobby's or Conestoga's plan will not be propelled by the Government, it will be the woman's autonomous choice, informed by the physician she consults."</w:t>
      </w:r>
    </w:p>
    <w:p w:rsidR="00E03B79" w:rsidRPr="00B74402" w:rsidRDefault="00E03B79" w:rsidP="00E03B79">
      <w:pPr>
        <w:ind w:left="1080"/>
        <w:rPr>
          <w:rFonts w:ascii="Palatino Linotype" w:eastAsia="Times New Roman" w:hAnsi="Palatino Linotype"/>
          <w:i/>
        </w:rPr>
      </w:pPr>
    </w:p>
    <w:p w:rsidR="004B3379" w:rsidRPr="00B74402" w:rsidRDefault="004B3379" w:rsidP="004B3379">
      <w:pPr>
        <w:numPr>
          <w:ilvl w:val="0"/>
          <w:numId w:val="1"/>
        </w:numPr>
        <w:tabs>
          <w:tab w:val="clear" w:pos="720"/>
          <w:tab w:val="num" w:pos="1800"/>
        </w:tabs>
        <w:ind w:left="1080"/>
        <w:rPr>
          <w:rFonts w:ascii="Palatino Linotype" w:eastAsia="Times New Roman" w:hAnsi="Palatino Linotype"/>
          <w:i/>
        </w:rPr>
      </w:pPr>
      <w:r w:rsidRPr="00B74402">
        <w:rPr>
          <w:rFonts w:ascii="Palatino Linotype" w:eastAsia="Times New Roman" w:hAnsi="Palatino Linotype"/>
          <w:i/>
        </w:rPr>
        <w:t>"It bears note in this regard that the cost of an IUD is nearly equivalent to a month's full-time pay for workers earning the minimum wage."</w:t>
      </w:r>
    </w:p>
    <w:p w:rsidR="00E03B79" w:rsidRPr="00B74402" w:rsidRDefault="00E03B79" w:rsidP="00E03B79">
      <w:pPr>
        <w:ind w:left="1080"/>
        <w:rPr>
          <w:rFonts w:ascii="Palatino Linotype" w:eastAsia="Times New Roman" w:hAnsi="Palatino Linotype"/>
          <w:i/>
        </w:rPr>
      </w:pPr>
    </w:p>
    <w:p w:rsidR="004B3379" w:rsidRPr="00B74402" w:rsidRDefault="004B3379" w:rsidP="004B3379">
      <w:pPr>
        <w:numPr>
          <w:ilvl w:val="0"/>
          <w:numId w:val="1"/>
        </w:numPr>
        <w:tabs>
          <w:tab w:val="clear" w:pos="720"/>
          <w:tab w:val="num" w:pos="1800"/>
        </w:tabs>
        <w:ind w:left="1080"/>
        <w:rPr>
          <w:rFonts w:ascii="Palatino Linotype" w:eastAsia="Times New Roman" w:hAnsi="Palatino Linotype"/>
          <w:i/>
        </w:rPr>
      </w:pPr>
      <w:r w:rsidRPr="00B74402">
        <w:rPr>
          <w:rFonts w:ascii="Palatino Linotype" w:eastAsia="Times New Roman" w:hAnsi="Palatino Linotype"/>
          <w:i/>
        </w:rPr>
        <w:t xml:space="preserve">"Would the exemption…extend to employers with religiously grounded objections to blood transfusions (Jehovah's Witnesses); antidepressants (Scientologists); medications derived from pigs, including anesthesia, intravenous fluids, and pills </w:t>
      </w:r>
      <w:r w:rsidRPr="00B74402">
        <w:rPr>
          <w:rFonts w:ascii="Palatino Linotype" w:eastAsia="Times New Roman" w:hAnsi="Palatino Linotype"/>
          <w:i/>
        </w:rPr>
        <w:lastRenderedPageBreak/>
        <w:t>coated with gelatin (certain Muslims, Jews, and Hindus); and vaccinations[?]…Not much help there for the lower courts bound by today's decision."</w:t>
      </w:r>
    </w:p>
    <w:p w:rsidR="00E03B79" w:rsidRPr="00B74402" w:rsidRDefault="00E03B79" w:rsidP="00E03B79">
      <w:pPr>
        <w:ind w:left="1080"/>
        <w:rPr>
          <w:rFonts w:ascii="Palatino Linotype" w:eastAsia="Times New Roman" w:hAnsi="Palatino Linotype"/>
          <w:i/>
        </w:rPr>
      </w:pPr>
    </w:p>
    <w:p w:rsidR="004B3379" w:rsidRPr="00B74402" w:rsidRDefault="004B3379" w:rsidP="004B3379">
      <w:pPr>
        <w:numPr>
          <w:ilvl w:val="0"/>
          <w:numId w:val="1"/>
        </w:numPr>
        <w:tabs>
          <w:tab w:val="clear" w:pos="720"/>
          <w:tab w:val="num" w:pos="1800"/>
        </w:tabs>
        <w:ind w:left="1080"/>
        <w:rPr>
          <w:rFonts w:ascii="Palatino Linotype" w:eastAsia="Times New Roman" w:hAnsi="Palatino Linotype"/>
          <w:i/>
        </w:rPr>
      </w:pPr>
      <w:r w:rsidRPr="00B74402">
        <w:rPr>
          <w:rFonts w:ascii="Palatino Linotype" w:eastAsia="Times New Roman" w:hAnsi="Palatino Linotype"/>
          <w:i/>
        </w:rPr>
        <w:t>"Approving some religious claims while deeming others unworthy of accommodation could be 'perceived as favoring one religion over another,' the very 'risk the [Constitution's] Establishment Clause was designed to preclude."</w:t>
      </w:r>
    </w:p>
    <w:p w:rsidR="00E03B79" w:rsidRPr="00B74402" w:rsidRDefault="00E03B79" w:rsidP="00E03B79">
      <w:pPr>
        <w:ind w:left="1080"/>
        <w:rPr>
          <w:rFonts w:ascii="Palatino Linotype" w:eastAsia="Times New Roman" w:hAnsi="Palatino Linotype"/>
          <w:i/>
        </w:rPr>
      </w:pPr>
    </w:p>
    <w:p w:rsidR="004B3379" w:rsidRPr="00B74402" w:rsidRDefault="004B3379" w:rsidP="004B3379">
      <w:pPr>
        <w:numPr>
          <w:ilvl w:val="0"/>
          <w:numId w:val="1"/>
        </w:numPr>
        <w:tabs>
          <w:tab w:val="clear" w:pos="720"/>
          <w:tab w:val="num" w:pos="1800"/>
        </w:tabs>
        <w:ind w:left="1080"/>
        <w:rPr>
          <w:rFonts w:ascii="Palatino Linotype" w:eastAsia="Times New Roman" w:hAnsi="Palatino Linotype"/>
          <w:i/>
        </w:rPr>
      </w:pPr>
      <w:r w:rsidRPr="00B74402">
        <w:rPr>
          <w:rFonts w:ascii="Palatino Linotype" w:eastAsia="Times New Roman" w:hAnsi="Palatino Linotype"/>
          <w:i/>
        </w:rPr>
        <w:t>"The court, I fear, has ventured into a minefield."</w:t>
      </w:r>
    </w:p>
    <w:p w:rsidR="004B3379" w:rsidRPr="00B74402" w:rsidRDefault="004B3379" w:rsidP="004B3379">
      <w:pPr>
        <w:ind w:left="1080"/>
        <w:rPr>
          <w:rFonts w:ascii="Palatino Linotype" w:hAnsi="Palatino Linotype"/>
          <w:i/>
        </w:rPr>
      </w:pPr>
    </w:p>
    <w:p w:rsidR="00A8467D" w:rsidRPr="00B74402" w:rsidRDefault="00A8467D" w:rsidP="00A8467D">
      <w:pPr>
        <w:rPr>
          <w:rFonts w:ascii="Palatino Linotype" w:hAnsi="Palatino Linotype"/>
          <w:b/>
        </w:rPr>
      </w:pPr>
      <w:proofErr w:type="gramStart"/>
      <w:r w:rsidRPr="00B74402">
        <w:rPr>
          <w:rFonts w:ascii="Palatino Linotype" w:hAnsi="Palatino Linotype"/>
          <w:b/>
        </w:rPr>
        <w:t>Theocracy?</w:t>
      </w:r>
      <w:proofErr w:type="gramEnd"/>
    </w:p>
    <w:p w:rsidR="00A8467D" w:rsidRPr="00B74402" w:rsidRDefault="00A8467D" w:rsidP="00A8467D">
      <w:pPr>
        <w:rPr>
          <w:rFonts w:ascii="Palatino Linotype" w:hAnsi="Palatino Linotype"/>
        </w:rPr>
      </w:pPr>
      <w:r w:rsidRPr="00B74402">
        <w:rPr>
          <w:rFonts w:ascii="Palatino Linotype" w:hAnsi="Palatino Linotype"/>
          <w:b/>
        </w:rPr>
        <w:tab/>
      </w:r>
      <w:r w:rsidRPr="00B74402">
        <w:rPr>
          <w:rFonts w:ascii="Palatino Linotype" w:hAnsi="Palatino Linotype"/>
        </w:rPr>
        <w:t>A theocracy is typically defined as government ruled by religious leaders relying on religious law rather than secular law</w:t>
      </w:r>
      <w:r w:rsidR="00E03B79" w:rsidRPr="00B74402">
        <w:rPr>
          <w:rFonts w:ascii="Palatino Linotype" w:hAnsi="Palatino Linotype"/>
        </w:rPr>
        <w:t xml:space="preserve">, particularly </w:t>
      </w:r>
      <w:r w:rsidRPr="00B74402">
        <w:rPr>
          <w:rFonts w:ascii="Palatino Linotype" w:hAnsi="Palatino Linotype"/>
        </w:rPr>
        <w:t xml:space="preserve">democratically-developed law. There are a host of theocracies in the world today; and fortunately, the U.S. is not one of them.  However, the language of some political parties (e.g., Texas) and some candidates (Michael Huckabee, 2012) refer to the U.S. as a “Christian” nation and candidates have argued that U.S. law needs to follow more closely Christian law as found in the Bible.  </w:t>
      </w:r>
    </w:p>
    <w:p w:rsidR="00A8467D" w:rsidRPr="00B74402" w:rsidRDefault="00A8467D" w:rsidP="00A8467D">
      <w:pPr>
        <w:rPr>
          <w:rFonts w:ascii="Palatino Linotype" w:hAnsi="Palatino Linotype"/>
        </w:rPr>
      </w:pPr>
      <w:r w:rsidRPr="00B74402">
        <w:rPr>
          <w:rFonts w:ascii="Palatino Linotype" w:hAnsi="Palatino Linotype"/>
        </w:rPr>
        <w:tab/>
        <w:t>When public policies such as RFRA are interpreted in such a way that enables religious beliefs of a few to outweigh the equal protection of the law to many, then another chip has been inflicted on the separation of church and state. This is a conversation that needs to begin. “Religio</w:t>
      </w:r>
      <w:r w:rsidR="00B74402" w:rsidRPr="00B74402">
        <w:rPr>
          <w:rFonts w:ascii="Palatino Linotype" w:hAnsi="Palatino Linotype"/>
        </w:rPr>
        <w:t>us</w:t>
      </w:r>
      <w:r w:rsidRPr="00B74402">
        <w:rPr>
          <w:rFonts w:ascii="Palatino Linotype" w:hAnsi="Palatino Linotype"/>
        </w:rPr>
        <w:t>”</w:t>
      </w:r>
      <w:r w:rsidR="00B74402" w:rsidRPr="00B74402">
        <w:rPr>
          <w:rFonts w:ascii="Palatino Linotype" w:hAnsi="Palatino Linotype"/>
        </w:rPr>
        <w:t xml:space="preserve"> claims should be subjected to the same kind of rational analysis and logical application of ethical principles as all other claims.  Religion</w:t>
      </w:r>
      <w:r w:rsidRPr="00B74402">
        <w:rPr>
          <w:rFonts w:ascii="Palatino Linotype" w:hAnsi="Palatino Linotype"/>
        </w:rPr>
        <w:t xml:space="preserve"> should no longer be given a free pass when it becomes part of a public policy discussion.   </w:t>
      </w:r>
    </w:p>
    <w:p w:rsidR="00360D64" w:rsidRDefault="00360D64" w:rsidP="00F94A0A">
      <w:pPr>
        <w:pBdr>
          <w:bottom w:val="single" w:sz="12" w:space="1" w:color="auto"/>
        </w:pBdr>
        <w:rPr>
          <w:rFonts w:ascii="Palatino Linotype" w:hAnsi="Palatino Linotype"/>
          <w:i/>
        </w:rPr>
      </w:pPr>
    </w:p>
    <w:p w:rsidR="00B132DB" w:rsidRPr="00B132DB" w:rsidRDefault="00B132DB" w:rsidP="00F94A0A">
      <w:pPr>
        <w:rPr>
          <w:rFonts w:ascii="Palatino Linotype" w:hAnsi="Palatino Linotype"/>
          <w:i/>
          <w:sz w:val="20"/>
          <w:szCs w:val="20"/>
        </w:rPr>
      </w:pPr>
      <w:r>
        <w:rPr>
          <w:rFonts w:ascii="Palatino Linotype" w:hAnsi="Palatino Linotype"/>
          <w:i/>
          <w:sz w:val="20"/>
          <w:szCs w:val="20"/>
        </w:rPr>
        <w:t>Anne L. Schneider, PhD, is policy coordinator of UUJAZ (Unitarian Universalist Justice Arizona) and a member of the Valley Unitarian Universalist Congregation of Chandler</w:t>
      </w:r>
      <w:proofErr w:type="gramStart"/>
      <w:r>
        <w:rPr>
          <w:rFonts w:ascii="Palatino Linotype" w:hAnsi="Palatino Linotype"/>
          <w:i/>
          <w:sz w:val="20"/>
          <w:szCs w:val="20"/>
        </w:rPr>
        <w:t>,  AZ</w:t>
      </w:r>
      <w:proofErr w:type="gramEnd"/>
      <w:r>
        <w:rPr>
          <w:rFonts w:ascii="Palatino Linotype" w:hAnsi="Palatino Linotype"/>
          <w:i/>
          <w:sz w:val="20"/>
          <w:szCs w:val="20"/>
        </w:rPr>
        <w:t xml:space="preserve">.  She is Dean Emeritus of the College of Public Programs at Arizona State University and a retired professor of political science.  Her books include “Policy Design for Democracy” (University of Kansas Press) and “Deserving and Entitled, Social Constructions and Public Policy,” (SUNY Press), both co-authored with Helen Ingram.  </w:t>
      </w:r>
    </w:p>
    <w:p w:rsidR="00360D64" w:rsidRPr="00B74402" w:rsidRDefault="00360D64" w:rsidP="00F94A0A">
      <w:pPr>
        <w:rPr>
          <w:rFonts w:ascii="Palatino Linotype" w:hAnsi="Palatino Linotype"/>
          <w:i/>
        </w:rPr>
      </w:pPr>
    </w:p>
    <w:p w:rsidR="00360D64" w:rsidRPr="00B74402" w:rsidRDefault="00360D64" w:rsidP="00F94A0A">
      <w:pPr>
        <w:rPr>
          <w:rFonts w:ascii="Palatino Linotype" w:hAnsi="Palatino Linotype"/>
        </w:rPr>
      </w:pPr>
      <w:r w:rsidRPr="00B74402">
        <w:rPr>
          <w:rFonts w:ascii="Palatino Linotype" w:hAnsi="Palatino Linotype"/>
        </w:rPr>
        <w:tab/>
      </w:r>
    </w:p>
    <w:p w:rsidR="00066B9F" w:rsidRPr="00B74402" w:rsidRDefault="00066B9F" w:rsidP="00F94A0A">
      <w:pPr>
        <w:pStyle w:val="CM15"/>
        <w:ind w:left="720" w:firstLine="220"/>
        <w:jc w:val="both"/>
        <w:rPr>
          <w:rFonts w:ascii="Palatino Linotype" w:hAnsi="Palatino Linotype" w:cs="Century Schoolbook"/>
          <w:color w:val="000000"/>
        </w:rPr>
      </w:pPr>
    </w:p>
    <w:p w:rsidR="00066B9F" w:rsidRPr="00B74402" w:rsidRDefault="00066B9F" w:rsidP="00F94A0A">
      <w:pPr>
        <w:pStyle w:val="CM15"/>
        <w:ind w:left="720" w:firstLine="220"/>
        <w:jc w:val="both"/>
        <w:rPr>
          <w:rFonts w:ascii="Palatino Linotype" w:hAnsi="Palatino Linotype" w:cs="Century Schoolbook"/>
          <w:color w:val="000000"/>
        </w:rPr>
      </w:pPr>
    </w:p>
    <w:p w:rsidR="00066B9F" w:rsidRPr="00B74402" w:rsidRDefault="00066B9F" w:rsidP="00F94A0A">
      <w:pPr>
        <w:ind w:left="720"/>
        <w:rPr>
          <w:rFonts w:ascii="Palatino Linotype" w:hAnsi="Palatino Linotype"/>
        </w:rPr>
      </w:pPr>
    </w:p>
    <w:sectPr w:rsidR="00066B9F" w:rsidRPr="00B74402" w:rsidSect="00B64E7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8B9" w:rsidRDefault="00DA28B9" w:rsidP="00A8467D">
      <w:r>
        <w:separator/>
      </w:r>
    </w:p>
  </w:endnote>
  <w:endnote w:type="continuationSeparator" w:id="0">
    <w:p w:rsidR="00DA28B9" w:rsidRDefault="00DA28B9" w:rsidP="00A846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11806"/>
      <w:docPartObj>
        <w:docPartGallery w:val="Page Numbers (Bottom of Page)"/>
        <w:docPartUnique/>
      </w:docPartObj>
    </w:sdtPr>
    <w:sdtContent>
      <w:p w:rsidR="00B132DB" w:rsidRDefault="00CA46DE">
        <w:pPr>
          <w:pStyle w:val="Footer"/>
          <w:jc w:val="center"/>
        </w:pPr>
        <w:fldSimple w:instr=" PAGE   \* MERGEFORMAT ">
          <w:r w:rsidR="00AE6B7F">
            <w:rPr>
              <w:noProof/>
            </w:rPr>
            <w:t>2</w:t>
          </w:r>
        </w:fldSimple>
      </w:p>
    </w:sdtContent>
  </w:sdt>
  <w:p w:rsidR="00B132DB" w:rsidRDefault="00B13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8B9" w:rsidRDefault="00DA28B9" w:rsidP="00A8467D">
      <w:r>
        <w:separator/>
      </w:r>
    </w:p>
  </w:footnote>
  <w:footnote w:type="continuationSeparator" w:id="0">
    <w:p w:rsidR="00DA28B9" w:rsidRDefault="00DA28B9" w:rsidP="00A84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B99"/>
    <w:multiLevelType w:val="multilevel"/>
    <w:tmpl w:val="F0B29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33655"/>
    <w:multiLevelType w:val="hybridMultilevel"/>
    <w:tmpl w:val="1FE87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6B9F"/>
    <w:rsid w:val="000343F1"/>
    <w:rsid w:val="0004175D"/>
    <w:rsid w:val="00056F91"/>
    <w:rsid w:val="00066B9F"/>
    <w:rsid w:val="00075FAE"/>
    <w:rsid w:val="000B3818"/>
    <w:rsid w:val="000B4D49"/>
    <w:rsid w:val="000C0DE3"/>
    <w:rsid w:val="00125898"/>
    <w:rsid w:val="00133632"/>
    <w:rsid w:val="00147CA9"/>
    <w:rsid w:val="00164953"/>
    <w:rsid w:val="00166928"/>
    <w:rsid w:val="0019476F"/>
    <w:rsid w:val="001A0BFC"/>
    <w:rsid w:val="001F54AD"/>
    <w:rsid w:val="001F7B11"/>
    <w:rsid w:val="0027268C"/>
    <w:rsid w:val="002B468F"/>
    <w:rsid w:val="002B5A21"/>
    <w:rsid w:val="002B64A2"/>
    <w:rsid w:val="002E3532"/>
    <w:rsid w:val="002F3FF7"/>
    <w:rsid w:val="00320A37"/>
    <w:rsid w:val="00322E3A"/>
    <w:rsid w:val="00330FE6"/>
    <w:rsid w:val="00360D64"/>
    <w:rsid w:val="00373794"/>
    <w:rsid w:val="003B0309"/>
    <w:rsid w:val="00405759"/>
    <w:rsid w:val="004B3379"/>
    <w:rsid w:val="004D05CC"/>
    <w:rsid w:val="00553516"/>
    <w:rsid w:val="0058533D"/>
    <w:rsid w:val="00587209"/>
    <w:rsid w:val="005D20FB"/>
    <w:rsid w:val="005E0905"/>
    <w:rsid w:val="00604FC0"/>
    <w:rsid w:val="00690E2F"/>
    <w:rsid w:val="006E25EB"/>
    <w:rsid w:val="006F3D19"/>
    <w:rsid w:val="007002CE"/>
    <w:rsid w:val="00723045"/>
    <w:rsid w:val="00731367"/>
    <w:rsid w:val="0073474D"/>
    <w:rsid w:val="00741AAF"/>
    <w:rsid w:val="00765F02"/>
    <w:rsid w:val="007712FA"/>
    <w:rsid w:val="007A3D93"/>
    <w:rsid w:val="007C1724"/>
    <w:rsid w:val="007C6190"/>
    <w:rsid w:val="00804F24"/>
    <w:rsid w:val="00824C61"/>
    <w:rsid w:val="00844333"/>
    <w:rsid w:val="008618D8"/>
    <w:rsid w:val="00870EC9"/>
    <w:rsid w:val="00883FF4"/>
    <w:rsid w:val="008A689F"/>
    <w:rsid w:val="008C1F90"/>
    <w:rsid w:val="008F4900"/>
    <w:rsid w:val="00901AFB"/>
    <w:rsid w:val="0090512D"/>
    <w:rsid w:val="009107C1"/>
    <w:rsid w:val="00914463"/>
    <w:rsid w:val="00916E8E"/>
    <w:rsid w:val="00946EB7"/>
    <w:rsid w:val="0094700A"/>
    <w:rsid w:val="00962435"/>
    <w:rsid w:val="00962490"/>
    <w:rsid w:val="00995508"/>
    <w:rsid w:val="009D12BE"/>
    <w:rsid w:val="00A22A1C"/>
    <w:rsid w:val="00A81BE6"/>
    <w:rsid w:val="00A82897"/>
    <w:rsid w:val="00A8467D"/>
    <w:rsid w:val="00A914CF"/>
    <w:rsid w:val="00A94468"/>
    <w:rsid w:val="00AD4B36"/>
    <w:rsid w:val="00AE6B7F"/>
    <w:rsid w:val="00B132DB"/>
    <w:rsid w:val="00B1434F"/>
    <w:rsid w:val="00B27989"/>
    <w:rsid w:val="00B34234"/>
    <w:rsid w:val="00B52296"/>
    <w:rsid w:val="00B64E7C"/>
    <w:rsid w:val="00B74402"/>
    <w:rsid w:val="00B85CA6"/>
    <w:rsid w:val="00BF6F10"/>
    <w:rsid w:val="00C13E50"/>
    <w:rsid w:val="00C73C41"/>
    <w:rsid w:val="00C86F3B"/>
    <w:rsid w:val="00CA46DE"/>
    <w:rsid w:val="00CF2915"/>
    <w:rsid w:val="00D33680"/>
    <w:rsid w:val="00D45197"/>
    <w:rsid w:val="00D51162"/>
    <w:rsid w:val="00D62562"/>
    <w:rsid w:val="00D879E4"/>
    <w:rsid w:val="00DA28B9"/>
    <w:rsid w:val="00DD13F3"/>
    <w:rsid w:val="00E03B79"/>
    <w:rsid w:val="00E1561E"/>
    <w:rsid w:val="00E159CF"/>
    <w:rsid w:val="00E17164"/>
    <w:rsid w:val="00E56564"/>
    <w:rsid w:val="00E82DD5"/>
    <w:rsid w:val="00ED4EAC"/>
    <w:rsid w:val="00EE0DA4"/>
    <w:rsid w:val="00EE3856"/>
    <w:rsid w:val="00F24F3B"/>
    <w:rsid w:val="00F5710A"/>
    <w:rsid w:val="00F610EB"/>
    <w:rsid w:val="00F73A83"/>
    <w:rsid w:val="00F94A0A"/>
    <w:rsid w:val="00FA2C64"/>
    <w:rsid w:val="00FA6E7A"/>
    <w:rsid w:val="00FB1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 w:eastAsiaTheme="minorHAnsi" w:hAnsi="TimesNew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5">
    <w:name w:val="CM15"/>
    <w:basedOn w:val="Normal"/>
    <w:next w:val="Normal"/>
    <w:uiPriority w:val="99"/>
    <w:rsid w:val="00066B9F"/>
    <w:pPr>
      <w:autoSpaceDE w:val="0"/>
      <w:autoSpaceDN w:val="0"/>
      <w:adjustRightInd w:val="0"/>
      <w:spacing w:line="266" w:lineRule="atLeast"/>
    </w:pPr>
    <w:rPr>
      <w:rFonts w:ascii="Century Schoolbook" w:hAnsi="Century Schoolbook"/>
    </w:rPr>
  </w:style>
  <w:style w:type="paragraph" w:customStyle="1" w:styleId="Default">
    <w:name w:val="Default"/>
    <w:rsid w:val="00066B9F"/>
    <w:pPr>
      <w:autoSpaceDE w:val="0"/>
      <w:autoSpaceDN w:val="0"/>
      <w:adjustRightInd w:val="0"/>
    </w:pPr>
    <w:rPr>
      <w:rFonts w:ascii="Century Schoolbook" w:hAnsi="Century Schoolbook" w:cs="Century Schoolbook"/>
      <w:color w:val="000000"/>
    </w:rPr>
  </w:style>
  <w:style w:type="paragraph" w:customStyle="1" w:styleId="CM40">
    <w:name w:val="CM40"/>
    <w:basedOn w:val="Default"/>
    <w:next w:val="Default"/>
    <w:uiPriority w:val="99"/>
    <w:rsid w:val="00066B9F"/>
    <w:rPr>
      <w:rFonts w:cs="Times New Roman"/>
      <w:color w:val="auto"/>
    </w:rPr>
  </w:style>
  <w:style w:type="paragraph" w:customStyle="1" w:styleId="CM16">
    <w:name w:val="CM16"/>
    <w:basedOn w:val="Default"/>
    <w:next w:val="Default"/>
    <w:uiPriority w:val="99"/>
    <w:rsid w:val="00066B9F"/>
    <w:pPr>
      <w:spacing w:line="266" w:lineRule="atLeast"/>
    </w:pPr>
    <w:rPr>
      <w:rFonts w:cs="Times New Roman"/>
      <w:color w:val="auto"/>
    </w:rPr>
  </w:style>
  <w:style w:type="character" w:styleId="Hyperlink">
    <w:name w:val="Hyperlink"/>
    <w:basedOn w:val="DefaultParagraphFont"/>
    <w:uiPriority w:val="99"/>
    <w:unhideWhenUsed/>
    <w:rsid w:val="00723045"/>
    <w:rPr>
      <w:color w:val="0000FF"/>
      <w:u w:val="single"/>
    </w:rPr>
  </w:style>
  <w:style w:type="paragraph" w:styleId="Header">
    <w:name w:val="header"/>
    <w:basedOn w:val="Normal"/>
    <w:link w:val="HeaderChar"/>
    <w:uiPriority w:val="99"/>
    <w:semiHidden/>
    <w:unhideWhenUsed/>
    <w:rsid w:val="00A8467D"/>
    <w:pPr>
      <w:tabs>
        <w:tab w:val="center" w:pos="4680"/>
        <w:tab w:val="right" w:pos="9360"/>
      </w:tabs>
    </w:pPr>
  </w:style>
  <w:style w:type="character" w:customStyle="1" w:styleId="HeaderChar">
    <w:name w:val="Header Char"/>
    <w:basedOn w:val="DefaultParagraphFont"/>
    <w:link w:val="Header"/>
    <w:uiPriority w:val="99"/>
    <w:semiHidden/>
    <w:rsid w:val="00A8467D"/>
  </w:style>
  <w:style w:type="paragraph" w:styleId="Footer">
    <w:name w:val="footer"/>
    <w:basedOn w:val="Normal"/>
    <w:link w:val="FooterChar"/>
    <w:uiPriority w:val="99"/>
    <w:unhideWhenUsed/>
    <w:rsid w:val="00A8467D"/>
    <w:pPr>
      <w:tabs>
        <w:tab w:val="center" w:pos="4680"/>
        <w:tab w:val="right" w:pos="9360"/>
      </w:tabs>
    </w:pPr>
  </w:style>
  <w:style w:type="character" w:customStyle="1" w:styleId="FooterChar">
    <w:name w:val="Footer Char"/>
    <w:basedOn w:val="DefaultParagraphFont"/>
    <w:link w:val="Footer"/>
    <w:uiPriority w:val="99"/>
    <w:rsid w:val="00A8467D"/>
  </w:style>
  <w:style w:type="paragraph" w:styleId="ListParagraph">
    <w:name w:val="List Paragraph"/>
    <w:basedOn w:val="Normal"/>
    <w:uiPriority w:val="34"/>
    <w:qFormat/>
    <w:rsid w:val="00E03B79"/>
    <w:pPr>
      <w:ind w:left="720"/>
      <w:contextualSpacing/>
    </w:pPr>
  </w:style>
  <w:style w:type="paragraph" w:styleId="FootnoteText">
    <w:name w:val="footnote text"/>
    <w:basedOn w:val="Normal"/>
    <w:link w:val="FootnoteTextChar"/>
    <w:uiPriority w:val="99"/>
    <w:semiHidden/>
    <w:unhideWhenUsed/>
    <w:rsid w:val="00B74402"/>
    <w:rPr>
      <w:sz w:val="20"/>
      <w:szCs w:val="20"/>
    </w:rPr>
  </w:style>
  <w:style w:type="character" w:customStyle="1" w:styleId="FootnoteTextChar">
    <w:name w:val="Footnote Text Char"/>
    <w:basedOn w:val="DefaultParagraphFont"/>
    <w:link w:val="FootnoteText"/>
    <w:uiPriority w:val="99"/>
    <w:semiHidden/>
    <w:rsid w:val="00B74402"/>
    <w:rPr>
      <w:sz w:val="20"/>
      <w:szCs w:val="20"/>
    </w:rPr>
  </w:style>
  <w:style w:type="character" w:styleId="FootnoteReference">
    <w:name w:val="footnote reference"/>
    <w:basedOn w:val="DefaultParagraphFont"/>
    <w:uiPriority w:val="99"/>
    <w:semiHidden/>
    <w:unhideWhenUsed/>
    <w:rsid w:val="00B74402"/>
    <w:rPr>
      <w:vertAlign w:val="superscript"/>
    </w:rPr>
  </w:style>
  <w:style w:type="paragraph" w:styleId="BalloonText">
    <w:name w:val="Balloon Text"/>
    <w:basedOn w:val="Normal"/>
    <w:link w:val="BalloonTextChar"/>
    <w:uiPriority w:val="99"/>
    <w:semiHidden/>
    <w:unhideWhenUsed/>
    <w:rsid w:val="00B74402"/>
    <w:rPr>
      <w:rFonts w:ascii="Tahoma" w:hAnsi="Tahoma" w:cs="Tahoma"/>
      <w:sz w:val="16"/>
      <w:szCs w:val="16"/>
    </w:rPr>
  </w:style>
  <w:style w:type="character" w:customStyle="1" w:styleId="BalloonTextChar">
    <w:name w:val="Balloon Text Char"/>
    <w:basedOn w:val="DefaultParagraphFont"/>
    <w:link w:val="BalloonText"/>
    <w:uiPriority w:val="99"/>
    <w:semiHidden/>
    <w:rsid w:val="00B74402"/>
    <w:rPr>
      <w:rFonts w:ascii="Tahoma" w:hAnsi="Tahoma" w:cs="Tahoma"/>
      <w:sz w:val="16"/>
      <w:szCs w:val="16"/>
    </w:rPr>
  </w:style>
  <w:style w:type="character" w:styleId="FollowedHyperlink">
    <w:name w:val="FollowedHyperlink"/>
    <w:basedOn w:val="DefaultParagraphFont"/>
    <w:uiPriority w:val="99"/>
    <w:semiHidden/>
    <w:unhideWhenUsed/>
    <w:rsid w:val="00FB1F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yperlink" Target="http://www.law.cornell.edu/uscode/text/42/2000bb-1"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508BE-CCEA-44AB-AFBE-43E54BF3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Schneider</dc:creator>
  <cp:lastModifiedBy>Anne Schneider</cp:lastModifiedBy>
  <cp:revision>2</cp:revision>
  <cp:lastPrinted>2015-08-17T20:13:00Z</cp:lastPrinted>
  <dcterms:created xsi:type="dcterms:W3CDTF">2015-08-17T20:14:00Z</dcterms:created>
  <dcterms:modified xsi:type="dcterms:W3CDTF">2015-08-17T20:14:00Z</dcterms:modified>
</cp:coreProperties>
</file>