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20" w:rsidRDefault="007A1B20" w:rsidP="005D10FE">
      <w:pPr>
        <w:rPr>
          <w:rFonts w:asciiTheme="minorHAnsi" w:hAnsiTheme="minorHAnsi" w:cstheme="minorBidi"/>
          <w:b/>
          <w:color w:val="1F497D" w:themeColor="dark2"/>
          <w:sz w:val="28"/>
          <w:szCs w:val="28"/>
        </w:rPr>
      </w:pPr>
      <w:r>
        <w:rPr>
          <w:rFonts w:asciiTheme="minorHAnsi" w:hAnsiTheme="minorHAnsi" w:cstheme="minorBidi"/>
          <w:b/>
          <w:color w:val="1F497D" w:themeColor="dark2"/>
          <w:sz w:val="28"/>
          <w:szCs w:val="28"/>
        </w:rPr>
        <w:t>Amending Arizona’s Religious Freedom and Restoration Act</w:t>
      </w:r>
      <w:r w:rsidR="00C64645">
        <w:rPr>
          <w:rFonts w:asciiTheme="minorHAnsi" w:hAnsiTheme="minorHAnsi" w:cstheme="minorBidi"/>
          <w:b/>
          <w:color w:val="1F497D" w:themeColor="dark2"/>
          <w:sz w:val="28"/>
          <w:szCs w:val="28"/>
        </w:rPr>
        <w:t xml:space="preserve"> (SB1062</w:t>
      </w:r>
      <w:r w:rsidR="0079084F">
        <w:rPr>
          <w:rFonts w:asciiTheme="minorHAnsi" w:hAnsiTheme="minorHAnsi" w:cstheme="minorBidi"/>
          <w:b/>
          <w:color w:val="1F497D" w:themeColor="dark2"/>
          <w:sz w:val="28"/>
          <w:szCs w:val="28"/>
        </w:rPr>
        <w:t xml:space="preserve"> and HB2153</w:t>
      </w:r>
      <w:r w:rsidR="00C64645">
        <w:rPr>
          <w:rFonts w:asciiTheme="minorHAnsi" w:hAnsiTheme="minorHAnsi" w:cstheme="minorBidi"/>
          <w:b/>
          <w:color w:val="1F497D" w:themeColor="dark2"/>
          <w:sz w:val="28"/>
          <w:szCs w:val="28"/>
        </w:rPr>
        <w:t>)</w:t>
      </w:r>
    </w:p>
    <w:p w:rsidR="007A1B20" w:rsidRDefault="005D3156" w:rsidP="005D10FE">
      <w:pPr>
        <w:rPr>
          <w:rFonts w:asciiTheme="minorHAnsi" w:hAnsiTheme="minorHAnsi" w:cstheme="minorBidi"/>
          <w:b/>
          <w:color w:val="1F497D" w:themeColor="dark2"/>
          <w:sz w:val="28"/>
          <w:szCs w:val="28"/>
        </w:rPr>
      </w:pPr>
      <w:r>
        <w:rPr>
          <w:rFonts w:asciiTheme="minorHAnsi" w:hAnsiTheme="minorHAnsi" w:cstheme="minorBidi"/>
          <w:b/>
          <w:color w:val="1F497D" w:themeColor="dark2"/>
          <w:sz w:val="28"/>
          <w:szCs w:val="28"/>
        </w:rPr>
        <w:t>Background Paper</w:t>
      </w:r>
      <w:r w:rsidR="0079084F">
        <w:rPr>
          <w:rFonts w:asciiTheme="minorHAnsi" w:hAnsiTheme="minorHAnsi" w:cstheme="minorBidi"/>
          <w:b/>
          <w:color w:val="1F497D" w:themeColor="dark2"/>
          <w:sz w:val="28"/>
          <w:szCs w:val="28"/>
        </w:rPr>
        <w:t xml:space="preserve">, </w:t>
      </w:r>
      <w:r w:rsidR="00E95982">
        <w:rPr>
          <w:rFonts w:asciiTheme="minorHAnsi" w:hAnsiTheme="minorHAnsi" w:cstheme="minorBidi"/>
          <w:b/>
          <w:color w:val="1F497D" w:themeColor="dark2"/>
          <w:sz w:val="28"/>
          <w:szCs w:val="28"/>
        </w:rPr>
        <w:t>Updated March 2, 2014</w:t>
      </w:r>
    </w:p>
    <w:p w:rsidR="007A1B20" w:rsidRPr="00832604" w:rsidRDefault="00AD4561" w:rsidP="005D10FE">
      <w:pPr>
        <w:rPr>
          <w:rFonts w:ascii="Palatino Linotype" w:hAnsi="Palatino Linotype" w:cstheme="minorBidi"/>
          <w:b/>
          <w:color w:val="1F497D" w:themeColor="dark2"/>
          <w:sz w:val="28"/>
          <w:szCs w:val="28"/>
        </w:rPr>
      </w:pPr>
      <w:r w:rsidRPr="00832604">
        <w:rPr>
          <w:rFonts w:ascii="Palatino Linotype" w:hAnsi="Palatino Linotype" w:cstheme="minorBidi"/>
          <w:b/>
          <w:color w:val="1F497D" w:themeColor="dark2"/>
          <w:sz w:val="28"/>
          <w:szCs w:val="28"/>
        </w:rPr>
        <w:t xml:space="preserve">by </w:t>
      </w:r>
      <w:r w:rsidR="007A1B20" w:rsidRPr="00832604">
        <w:rPr>
          <w:rFonts w:ascii="Palatino Linotype" w:hAnsi="Palatino Linotype" w:cstheme="minorBidi"/>
          <w:b/>
          <w:color w:val="1F497D" w:themeColor="dark2"/>
          <w:sz w:val="28"/>
          <w:szCs w:val="28"/>
        </w:rPr>
        <w:t>Anne L. Schneider</w:t>
      </w:r>
    </w:p>
    <w:p w:rsidR="00832604" w:rsidRPr="00832604" w:rsidRDefault="00832604" w:rsidP="00832604">
      <w:pPr>
        <w:rPr>
          <w:rFonts w:ascii="Palatino Linotype" w:hAnsi="Palatino Linotype" w:cstheme="minorBidi"/>
          <w:b/>
          <w:sz w:val="22"/>
          <w:szCs w:val="22"/>
        </w:rPr>
      </w:pPr>
      <w:r w:rsidRPr="00832604">
        <w:rPr>
          <w:rFonts w:ascii="Palatino Linotype" w:hAnsi="Palatino Linotype" w:cstheme="minorBidi"/>
          <w:b/>
          <w:sz w:val="22"/>
          <w:szCs w:val="22"/>
        </w:rPr>
        <w:t>Background</w:t>
      </w:r>
    </w:p>
    <w:p w:rsidR="00AD4561" w:rsidRPr="00832604" w:rsidRDefault="00AD4561" w:rsidP="005D10FE">
      <w:pPr>
        <w:rPr>
          <w:rFonts w:ascii="Palatino Linotype" w:hAnsi="Palatino Linotype" w:cstheme="minorBidi"/>
          <w:b/>
          <w:i/>
          <w:color w:val="1F497D" w:themeColor="dark2"/>
        </w:rPr>
      </w:pPr>
      <w:r w:rsidRPr="00832604">
        <w:rPr>
          <w:rFonts w:ascii="Palatino Linotype" w:hAnsi="Palatino Linotype" w:cstheme="minorBidi"/>
          <w:b/>
          <w:i/>
          <w:color w:val="1F497D" w:themeColor="dark2"/>
        </w:rPr>
        <w:tab/>
        <w:t xml:space="preserve">Readers are invited to comment, suggest additions or edits.  Send these to </w:t>
      </w:r>
      <w:hyperlink r:id="rId5" w:history="1">
        <w:r w:rsidRPr="00832604">
          <w:rPr>
            <w:rStyle w:val="Hyperlink"/>
            <w:rFonts w:ascii="Palatino Linotype" w:hAnsi="Palatino Linotype" w:cstheme="minorBidi"/>
            <w:b/>
            <w:i/>
          </w:rPr>
          <w:t>legislativeadvocacy@vuu.org</w:t>
        </w:r>
      </w:hyperlink>
      <w:r w:rsidRPr="00832604">
        <w:rPr>
          <w:rFonts w:ascii="Palatino Linotype" w:hAnsi="Palatino Linotype" w:cstheme="minorBidi"/>
          <w:b/>
          <w:i/>
          <w:color w:val="1F497D" w:themeColor="dark2"/>
        </w:rPr>
        <w:t xml:space="preserve">  </w:t>
      </w:r>
    </w:p>
    <w:p w:rsidR="007A1B20" w:rsidRPr="00832604" w:rsidRDefault="007A1B20" w:rsidP="005D10FE">
      <w:pPr>
        <w:rPr>
          <w:rFonts w:ascii="Palatino Linotype" w:hAnsi="Palatino Linotype" w:cstheme="minorBidi"/>
          <w:color w:val="1F497D" w:themeColor="dark2"/>
          <w:sz w:val="22"/>
          <w:szCs w:val="22"/>
        </w:rPr>
      </w:pPr>
    </w:p>
    <w:p w:rsidR="00B81360" w:rsidRDefault="00B81360" w:rsidP="00B81360">
      <w:pPr>
        <w:rPr>
          <w:rFonts w:ascii="Palatino Linotype" w:hAnsi="Palatino Linotype"/>
          <w:b/>
        </w:rPr>
      </w:pPr>
      <w:r w:rsidRPr="00023AC3">
        <w:rPr>
          <w:rFonts w:ascii="Palatino Linotype" w:hAnsi="Palatino Linotype" w:cstheme="minorBidi"/>
          <w:b/>
        </w:rPr>
        <w:t>Short summary:</w:t>
      </w:r>
      <w:r>
        <w:rPr>
          <w:rFonts w:ascii="Palatino Linotype" w:hAnsi="Palatino Linotype" w:cstheme="minorBidi"/>
        </w:rPr>
        <w:t xml:space="preserve">  </w:t>
      </w:r>
      <w:r w:rsidR="00E95982">
        <w:rPr>
          <w:rFonts w:ascii="Palatino Linotype" w:hAnsi="Palatino Linotype" w:cstheme="minorBidi"/>
          <w:b/>
        </w:rPr>
        <w:t xml:space="preserve">The Legislature passed SB1062 with the intent of amending the </w:t>
      </w:r>
      <w:r>
        <w:rPr>
          <w:rFonts w:ascii="Palatino Linotype" w:hAnsi="Palatino Linotype"/>
          <w:b/>
        </w:rPr>
        <w:t xml:space="preserve">Arizona </w:t>
      </w:r>
      <w:r w:rsidR="00EE72CE">
        <w:rPr>
          <w:rFonts w:ascii="Palatino Linotype" w:hAnsi="Palatino Linotype"/>
          <w:b/>
        </w:rPr>
        <w:t xml:space="preserve">Religious Freedom Restoration Act </w:t>
      </w:r>
      <w:r w:rsidR="00E95982">
        <w:rPr>
          <w:rFonts w:ascii="Palatino Linotype" w:hAnsi="Palatino Linotype"/>
          <w:b/>
        </w:rPr>
        <w:t xml:space="preserve">(RFRA) to strengthen a person’s ability to refuse services or in other ways fail to provide equal treatment if providing such service or treatment would infringe on a “sincerely held religious belief.”  </w:t>
      </w:r>
      <w:r>
        <w:rPr>
          <w:rFonts w:ascii="Palatino Linotype" w:hAnsi="Palatino Linotype"/>
          <w:b/>
        </w:rPr>
        <w:t>There is admittedly a delicate balance between the free exercise of religion and the civil rights of other persons; but opponents of this law believe it would upset that delicate balance and permit religious claims to impinge too much</w:t>
      </w:r>
      <w:r w:rsidR="00FD3EE7">
        <w:rPr>
          <w:rFonts w:ascii="Palatino Linotype" w:hAnsi="Palatino Linotype"/>
          <w:b/>
        </w:rPr>
        <w:t xml:space="preserve"> on the civil rights of others.  This bill enables people, businesses, corporations and other entities a </w:t>
      </w:r>
      <w:r w:rsidR="005B742F">
        <w:rPr>
          <w:rFonts w:ascii="Palatino Linotype" w:hAnsi="Palatino Linotype"/>
          <w:b/>
        </w:rPr>
        <w:t>legal defense in a civil case using religious beliefs to p</w:t>
      </w:r>
      <w:r w:rsidR="00FD3EE7">
        <w:rPr>
          <w:rFonts w:ascii="Palatino Linotype" w:hAnsi="Palatino Linotype"/>
          <w:b/>
        </w:rPr>
        <w:t>unish “sinners” by withholding services</w:t>
      </w:r>
      <w:r w:rsidR="005B742F">
        <w:rPr>
          <w:rFonts w:ascii="Palatino Linotype" w:hAnsi="Palatino Linotype"/>
          <w:b/>
        </w:rPr>
        <w:t xml:space="preserve"> or </w:t>
      </w:r>
      <w:r w:rsidR="00FD3EE7">
        <w:rPr>
          <w:rFonts w:ascii="Palatino Linotype" w:hAnsi="Palatino Linotype"/>
          <w:b/>
        </w:rPr>
        <w:t xml:space="preserve"> discriminating in hiring, housing, employment</w:t>
      </w:r>
      <w:r w:rsidR="005B742F">
        <w:rPr>
          <w:rFonts w:ascii="Palatino Linotype" w:hAnsi="Palatino Linotype"/>
          <w:b/>
        </w:rPr>
        <w:t xml:space="preserve"> against</w:t>
      </w:r>
      <w:r w:rsidR="00FD3EE7">
        <w:rPr>
          <w:rFonts w:ascii="Palatino Linotype" w:hAnsi="Palatino Linotype"/>
          <w:b/>
        </w:rPr>
        <w:t xml:space="preserve"> those whose behavior </w:t>
      </w:r>
      <w:r w:rsidR="005B742F">
        <w:rPr>
          <w:rFonts w:ascii="Palatino Linotype" w:hAnsi="Palatino Linotype"/>
          <w:b/>
        </w:rPr>
        <w:t xml:space="preserve">or beliefs </w:t>
      </w:r>
      <w:r w:rsidR="00FD3EE7">
        <w:rPr>
          <w:rFonts w:ascii="Palatino Linotype" w:hAnsi="Palatino Linotype"/>
          <w:b/>
        </w:rPr>
        <w:t>violate the</w:t>
      </w:r>
      <w:r w:rsidR="00EE72CE">
        <w:rPr>
          <w:rFonts w:ascii="Palatino Linotype" w:hAnsi="Palatino Linotype"/>
          <w:b/>
        </w:rPr>
        <w:t>ir</w:t>
      </w:r>
      <w:r w:rsidR="00FD3EE7">
        <w:rPr>
          <w:rFonts w:ascii="Palatino Linotype" w:hAnsi="Palatino Linotype"/>
          <w:b/>
        </w:rPr>
        <w:t xml:space="preserve"> religious principles</w:t>
      </w:r>
      <w:r w:rsidR="00E95982">
        <w:rPr>
          <w:rFonts w:ascii="Palatino Linotype" w:hAnsi="Palatino Linotype"/>
          <w:b/>
        </w:rPr>
        <w:t xml:space="preserve">.  </w:t>
      </w:r>
      <w:r w:rsidR="00FD3EE7">
        <w:rPr>
          <w:rFonts w:ascii="Palatino Linotype" w:hAnsi="Palatino Linotype"/>
          <w:b/>
        </w:rPr>
        <w:t xml:space="preserve"> </w:t>
      </w:r>
    </w:p>
    <w:p w:rsidR="00FD3EE7" w:rsidRDefault="00FD3EE7" w:rsidP="00832604">
      <w:pPr>
        <w:rPr>
          <w:rFonts w:ascii="Palatino Linotype" w:hAnsi="Palatino Linotype"/>
          <w:b/>
        </w:rPr>
      </w:pPr>
    </w:p>
    <w:p w:rsidR="00B81360" w:rsidRDefault="00B81360" w:rsidP="00832604">
      <w:pPr>
        <w:rPr>
          <w:rFonts w:ascii="Palatino Linotype" w:hAnsi="Palatino Linotype"/>
        </w:rPr>
      </w:pPr>
      <w:r>
        <w:rPr>
          <w:rFonts w:ascii="Palatino Linotype" w:hAnsi="Palatino Linotype" w:cstheme="minorBidi"/>
          <w:b/>
          <w:sz w:val="22"/>
          <w:szCs w:val="22"/>
        </w:rPr>
        <w:t xml:space="preserve">What’s happening in Arizona?  </w:t>
      </w:r>
      <w:r w:rsidR="0099700E">
        <w:rPr>
          <w:rFonts w:ascii="Palatino Linotype" w:hAnsi="Palatino Linotype" w:cstheme="minorBidi"/>
        </w:rPr>
        <w:t xml:space="preserve"> </w:t>
      </w:r>
      <w:r w:rsidR="0079084F">
        <w:rPr>
          <w:rFonts w:ascii="Palatino Linotype" w:hAnsi="Palatino Linotype" w:cstheme="minorBidi"/>
        </w:rPr>
        <w:t xml:space="preserve">Both bills are </w:t>
      </w:r>
      <w:r w:rsidR="00832604" w:rsidRPr="00832604">
        <w:rPr>
          <w:rFonts w:ascii="Palatino Linotype" w:hAnsi="Palatino Linotype" w:cstheme="minorBidi"/>
        </w:rPr>
        <w:t>basically</w:t>
      </w:r>
      <w:r w:rsidR="0036042B">
        <w:rPr>
          <w:rFonts w:ascii="Palatino Linotype" w:hAnsi="Palatino Linotype" w:cstheme="minorBidi"/>
        </w:rPr>
        <w:t xml:space="preserve"> the same</w:t>
      </w:r>
      <w:r w:rsidR="00832604" w:rsidRPr="00832604">
        <w:rPr>
          <w:rFonts w:ascii="Palatino Linotype" w:hAnsi="Palatino Linotype" w:cstheme="minorBidi"/>
        </w:rPr>
        <w:t xml:space="preserve"> </w:t>
      </w:r>
      <w:r w:rsidR="0079084F">
        <w:rPr>
          <w:rFonts w:ascii="Palatino Linotype" w:hAnsi="Palatino Linotype" w:cstheme="minorBidi"/>
        </w:rPr>
        <w:t xml:space="preserve">as the ones </w:t>
      </w:r>
      <w:r w:rsidR="00832604" w:rsidRPr="00832604">
        <w:rPr>
          <w:rFonts w:ascii="Palatino Linotype" w:hAnsi="Palatino Linotype" w:cstheme="minorBidi"/>
        </w:rPr>
        <w:t>introduced last year (and passed) but w</w:t>
      </w:r>
      <w:r w:rsidR="0079084F">
        <w:rPr>
          <w:rFonts w:ascii="Palatino Linotype" w:hAnsi="Palatino Linotype" w:cstheme="minorBidi"/>
        </w:rPr>
        <w:t>ere</w:t>
      </w:r>
      <w:r w:rsidR="00832604" w:rsidRPr="00832604">
        <w:rPr>
          <w:rFonts w:ascii="Palatino Linotype" w:hAnsi="Palatino Linotype" w:cstheme="minorBidi"/>
        </w:rPr>
        <w:t xml:space="preserve"> </w:t>
      </w:r>
      <w:r w:rsidR="00907EA4">
        <w:rPr>
          <w:rFonts w:ascii="Palatino Linotype" w:hAnsi="Palatino Linotype" w:cstheme="minorBidi"/>
        </w:rPr>
        <w:t>v</w:t>
      </w:r>
      <w:r w:rsidR="00832604" w:rsidRPr="00832604">
        <w:rPr>
          <w:rFonts w:ascii="Palatino Linotype" w:hAnsi="Palatino Linotype" w:cstheme="minorBidi"/>
        </w:rPr>
        <w:t xml:space="preserve">etoed by the Governor as part of </w:t>
      </w:r>
      <w:r w:rsidR="00023AC3">
        <w:rPr>
          <w:rFonts w:ascii="Palatino Linotype" w:hAnsi="Palatino Linotype" w:cstheme="minorBidi"/>
        </w:rPr>
        <w:t>her</w:t>
      </w:r>
      <w:r w:rsidR="00832604" w:rsidRPr="00832604">
        <w:rPr>
          <w:rFonts w:ascii="Palatino Linotype" w:hAnsi="Palatino Linotype" w:cstheme="minorBidi"/>
        </w:rPr>
        <w:t xml:space="preserve"> threats to veto everything until the Legislature passed the Medicaid expansion.</w:t>
      </w:r>
      <w:r w:rsidR="00832604" w:rsidRPr="00832604">
        <w:rPr>
          <w:rFonts w:ascii="Palatino Linotype" w:hAnsi="Palatino Linotype"/>
        </w:rPr>
        <w:t xml:space="preserve">  SB1062 was introduced by Sen. Yarbrough of Chandler (District 17) and immediately passed the Senate Government and Environment committee (4-2).  </w:t>
      </w:r>
      <w:r w:rsidR="00EB0561">
        <w:rPr>
          <w:rFonts w:ascii="Palatino Linotype" w:hAnsi="Palatino Linotype"/>
        </w:rPr>
        <w:t xml:space="preserve">The House sponsor is Rep. Eddie Farnsworth (District 12).  The Bill passed the house 5-2 on a straight party line vote February 4.  </w:t>
      </w:r>
      <w:r w:rsidR="00EE72CE">
        <w:rPr>
          <w:rFonts w:ascii="Palatino Linotype" w:hAnsi="Palatino Linotype"/>
        </w:rPr>
        <w:t xml:space="preserve">There were amendments, but they do not change the objectionable parts of the bill. </w:t>
      </w:r>
      <w:r w:rsidR="00832604" w:rsidRPr="00832604">
        <w:rPr>
          <w:rFonts w:ascii="Palatino Linotype" w:hAnsi="Palatino Linotype"/>
        </w:rPr>
        <w:t xml:space="preserve"> </w:t>
      </w:r>
      <w:r w:rsidR="00EB0561">
        <w:rPr>
          <w:rFonts w:ascii="Palatino Linotype" w:hAnsi="Palatino Linotype"/>
        </w:rPr>
        <w:tab/>
      </w:r>
    </w:p>
    <w:p w:rsidR="00B81360" w:rsidRDefault="00B81360" w:rsidP="00832604">
      <w:pPr>
        <w:rPr>
          <w:rFonts w:ascii="Palatino Linotype" w:hAnsi="Palatino Linotype"/>
        </w:rPr>
      </w:pPr>
      <w:r>
        <w:rPr>
          <w:rFonts w:ascii="Palatino Linotype" w:hAnsi="Palatino Linotype"/>
        </w:rPr>
        <w:tab/>
      </w:r>
      <w:r w:rsidR="00832604" w:rsidRPr="00832604">
        <w:rPr>
          <w:rFonts w:ascii="Palatino Linotype" w:hAnsi="Palatino Linotype"/>
        </w:rPr>
        <w:t xml:space="preserve">Opponents include </w:t>
      </w:r>
      <w:r w:rsidR="00023AC3">
        <w:rPr>
          <w:rFonts w:ascii="Palatino Linotype" w:hAnsi="Palatino Linotype"/>
        </w:rPr>
        <w:t xml:space="preserve">the </w:t>
      </w:r>
      <w:r w:rsidR="00832604" w:rsidRPr="00832604">
        <w:rPr>
          <w:rFonts w:ascii="Palatino Linotype" w:hAnsi="Palatino Linotype"/>
        </w:rPr>
        <w:t xml:space="preserve">ACLU, Anti-Defamation League and Equality Arizona. </w:t>
      </w:r>
      <w:r w:rsidR="0079084F">
        <w:rPr>
          <w:rFonts w:ascii="Palatino Linotype" w:hAnsi="Palatino Linotype"/>
        </w:rPr>
        <w:t xml:space="preserve"> </w:t>
      </w:r>
      <w:r w:rsidR="00EB0561">
        <w:rPr>
          <w:rFonts w:ascii="Palatino Linotype" w:hAnsi="Palatino Linotype"/>
        </w:rPr>
        <w:t xml:space="preserve">Also speaking against the bill in the House were representatives from the Arizona Counseling </w:t>
      </w:r>
      <w:r>
        <w:rPr>
          <w:rFonts w:ascii="Palatino Linotype" w:hAnsi="Palatino Linotype"/>
        </w:rPr>
        <w:t>A</w:t>
      </w:r>
      <w:r w:rsidR="00EB0561">
        <w:rPr>
          <w:rFonts w:ascii="Palatino Linotype" w:hAnsi="Palatino Linotype"/>
        </w:rPr>
        <w:t xml:space="preserve">ssociation, the Secular Coalition of Arizona; and the Reform Catholic Church.  </w:t>
      </w:r>
      <w:r w:rsidR="00EB0561" w:rsidRPr="00EB0561">
        <w:rPr>
          <w:rFonts w:ascii="Palatino Linotype" w:hAnsi="Palatino Linotype"/>
          <w:i/>
        </w:rPr>
        <w:t>The Arizona Republic</w:t>
      </w:r>
      <w:r w:rsidR="00EB0561">
        <w:rPr>
          <w:rFonts w:ascii="Palatino Linotype" w:hAnsi="Palatino Linotype"/>
        </w:rPr>
        <w:t xml:space="preserve"> has twice used its lead editorial to speak against the bills</w:t>
      </w:r>
      <w:r w:rsidR="00EE72CE">
        <w:rPr>
          <w:rFonts w:ascii="Palatino Linotype" w:hAnsi="Palatino Linotype"/>
        </w:rPr>
        <w:t xml:space="preserve"> (2/4 and </w:t>
      </w:r>
      <w:r w:rsidR="000C08AF">
        <w:rPr>
          <w:rFonts w:ascii="Palatino Linotype" w:hAnsi="Palatino Linotype"/>
        </w:rPr>
        <w:t>1</w:t>
      </w:r>
      <w:r w:rsidR="00EE72CE">
        <w:rPr>
          <w:rFonts w:ascii="Palatino Linotype" w:hAnsi="Palatino Linotype"/>
        </w:rPr>
        <w:t>/24)</w:t>
      </w:r>
      <w:r w:rsidR="00EB0561">
        <w:rPr>
          <w:rFonts w:ascii="Palatino Linotype" w:hAnsi="Palatino Linotype"/>
        </w:rPr>
        <w:t xml:space="preserve">.  Opponents of these bills point to the unintended consequences, arguing that the legislation would greatly expand the ability of a person or business to use “religious infringement” as a defense if they deny services or in other ways discriminate against people </w:t>
      </w:r>
      <w:r w:rsidR="00EE72CE">
        <w:rPr>
          <w:rFonts w:ascii="Palatino Linotype" w:hAnsi="Palatino Linotype"/>
        </w:rPr>
        <w:t xml:space="preserve">(including their own employees in the case of a business) </w:t>
      </w:r>
      <w:r w:rsidR="00EB0561">
        <w:rPr>
          <w:rFonts w:ascii="Palatino Linotype" w:hAnsi="Palatino Linotype"/>
        </w:rPr>
        <w:t>who do not share their religious views</w:t>
      </w:r>
      <w:r>
        <w:rPr>
          <w:rFonts w:ascii="Palatino Linotype" w:hAnsi="Palatino Linotype"/>
        </w:rPr>
        <w:t xml:space="preserve">. </w:t>
      </w:r>
      <w:r w:rsidR="00EB0561">
        <w:rPr>
          <w:rFonts w:ascii="Palatino Linotype" w:hAnsi="Palatino Linotype"/>
        </w:rPr>
        <w:t xml:space="preserve"> </w:t>
      </w:r>
    </w:p>
    <w:p w:rsidR="00EB0561" w:rsidRDefault="00B81360" w:rsidP="00832604">
      <w:pPr>
        <w:rPr>
          <w:rFonts w:ascii="Palatino Linotype" w:hAnsi="Palatino Linotype"/>
        </w:rPr>
      </w:pPr>
      <w:r>
        <w:rPr>
          <w:rFonts w:ascii="Palatino Linotype" w:hAnsi="Palatino Linotype"/>
        </w:rPr>
        <w:tab/>
      </w:r>
      <w:r w:rsidR="00EB0561">
        <w:rPr>
          <w:rFonts w:ascii="Palatino Linotype" w:hAnsi="Palatino Linotype"/>
        </w:rPr>
        <w:t xml:space="preserve">Supporters argue that anti-discrimination laws are in place and this bill would not change that.  However, gays, lesbians, bisexual and transgender people are not included in Arizona’s “protected” group; and many others who might be considered </w:t>
      </w:r>
      <w:r w:rsidR="00EB0561">
        <w:rPr>
          <w:rFonts w:ascii="Palatino Linotype" w:hAnsi="Palatino Linotype"/>
        </w:rPr>
        <w:lastRenderedPageBreak/>
        <w:t xml:space="preserve">“sinful” from some religious points of view also are not </w:t>
      </w:r>
      <w:r>
        <w:rPr>
          <w:rFonts w:ascii="Palatino Linotype" w:hAnsi="Palatino Linotype"/>
        </w:rPr>
        <w:t xml:space="preserve">specifically </w:t>
      </w:r>
      <w:r w:rsidR="00EB0561">
        <w:rPr>
          <w:rFonts w:ascii="Palatino Linotype" w:hAnsi="Palatino Linotype"/>
        </w:rPr>
        <w:t>protected</w:t>
      </w:r>
      <w:r>
        <w:rPr>
          <w:rFonts w:ascii="Palatino Linotype" w:hAnsi="Palatino Linotype"/>
        </w:rPr>
        <w:t xml:space="preserve"> in Arizona law. </w:t>
      </w:r>
      <w:r w:rsidR="00EB0561">
        <w:rPr>
          <w:rFonts w:ascii="Palatino Linotype" w:hAnsi="Palatino Linotype"/>
        </w:rPr>
        <w:t xml:space="preserve">  </w:t>
      </w:r>
    </w:p>
    <w:p w:rsidR="00EB0561" w:rsidRDefault="00EB0561" w:rsidP="00832604">
      <w:pPr>
        <w:rPr>
          <w:rFonts w:ascii="Palatino Linotype" w:hAnsi="Palatino Linotype"/>
        </w:rPr>
      </w:pPr>
    </w:p>
    <w:p w:rsidR="00832604" w:rsidRPr="00832604" w:rsidRDefault="00907EA4" w:rsidP="005D10FE">
      <w:pPr>
        <w:rPr>
          <w:rFonts w:ascii="Palatino Linotype" w:hAnsi="Palatino Linotype" w:cstheme="minorBidi"/>
          <w:b/>
          <w:sz w:val="22"/>
          <w:szCs w:val="22"/>
        </w:rPr>
      </w:pPr>
      <w:r>
        <w:rPr>
          <w:rFonts w:ascii="Palatino Linotype" w:hAnsi="Palatino Linotype"/>
        </w:rPr>
        <w:t xml:space="preserve"> </w:t>
      </w:r>
      <w:r w:rsidR="00832604" w:rsidRPr="00832604">
        <w:rPr>
          <w:rFonts w:ascii="Palatino Linotype" w:hAnsi="Palatino Linotype" w:cstheme="minorBidi"/>
          <w:b/>
          <w:sz w:val="22"/>
          <w:szCs w:val="22"/>
        </w:rPr>
        <w:t xml:space="preserve">Background </w:t>
      </w:r>
    </w:p>
    <w:p w:rsidR="005D10FE" w:rsidRPr="007A1B20" w:rsidRDefault="007A1B20" w:rsidP="005D10FE">
      <w:pPr>
        <w:rPr>
          <w:rFonts w:ascii="Palatino Linotype" w:hAnsi="Palatino Linotype" w:cstheme="minorBidi"/>
        </w:rPr>
      </w:pPr>
      <w:r>
        <w:rPr>
          <w:rFonts w:asciiTheme="minorHAnsi" w:hAnsiTheme="minorHAnsi" w:cstheme="minorBidi"/>
          <w:sz w:val="22"/>
          <w:szCs w:val="22"/>
        </w:rPr>
        <w:tab/>
        <w:t>The A</w:t>
      </w:r>
      <w:r w:rsidR="005D10FE" w:rsidRPr="007A1B20">
        <w:rPr>
          <w:rFonts w:ascii="Palatino Linotype" w:hAnsi="Palatino Linotype" w:cstheme="minorBidi"/>
        </w:rPr>
        <w:t xml:space="preserve">rizona </w:t>
      </w:r>
      <w:r>
        <w:rPr>
          <w:rFonts w:ascii="Palatino Linotype" w:hAnsi="Palatino Linotype" w:cstheme="minorBidi"/>
        </w:rPr>
        <w:t>amendments, if successful in the legislature (SB 1</w:t>
      </w:r>
      <w:r w:rsidR="005E2ECD">
        <w:rPr>
          <w:rFonts w:ascii="Palatino Linotype" w:hAnsi="Palatino Linotype" w:cstheme="minorBidi"/>
        </w:rPr>
        <w:t>062</w:t>
      </w:r>
      <w:r w:rsidR="002665DF">
        <w:rPr>
          <w:rFonts w:ascii="Palatino Linotype" w:hAnsi="Palatino Linotype" w:cstheme="minorBidi"/>
        </w:rPr>
        <w:t xml:space="preserve"> and HB2153</w:t>
      </w:r>
      <w:r>
        <w:rPr>
          <w:rFonts w:ascii="Palatino Linotype" w:hAnsi="Palatino Linotype" w:cstheme="minorBidi"/>
        </w:rPr>
        <w:t>)</w:t>
      </w:r>
      <w:r w:rsidR="00023AC3">
        <w:rPr>
          <w:rFonts w:ascii="Palatino Linotype" w:hAnsi="Palatino Linotype" w:cstheme="minorBidi"/>
        </w:rPr>
        <w:t>,</w:t>
      </w:r>
      <w:r>
        <w:rPr>
          <w:rFonts w:ascii="Palatino Linotype" w:hAnsi="Palatino Linotype" w:cstheme="minorBidi"/>
        </w:rPr>
        <w:t xml:space="preserve"> are another step beyond </w:t>
      </w:r>
      <w:r w:rsidR="005D10FE" w:rsidRPr="007A1B20">
        <w:rPr>
          <w:rFonts w:ascii="Palatino Linotype" w:hAnsi="Palatino Linotype" w:cstheme="minorBidi"/>
        </w:rPr>
        <w:t>what most states have done so far</w:t>
      </w:r>
      <w:r>
        <w:rPr>
          <w:rFonts w:ascii="Palatino Linotype" w:hAnsi="Palatino Linotype" w:cstheme="minorBidi"/>
        </w:rPr>
        <w:t xml:space="preserve"> in terms of infringement on religion when it violates (or seems to violate) the civil rights of others, especially the gay, lesbian, bisexual, and tr</w:t>
      </w:r>
      <w:r w:rsidR="00832604">
        <w:rPr>
          <w:rFonts w:ascii="Palatino Linotype" w:hAnsi="Palatino Linotype" w:cstheme="minorBidi"/>
        </w:rPr>
        <w:t>a</w:t>
      </w:r>
      <w:r>
        <w:rPr>
          <w:rFonts w:ascii="Palatino Linotype" w:hAnsi="Palatino Linotype" w:cstheme="minorBidi"/>
        </w:rPr>
        <w:t>n</w:t>
      </w:r>
      <w:r w:rsidR="00832604">
        <w:rPr>
          <w:rFonts w:ascii="Palatino Linotype" w:hAnsi="Palatino Linotype" w:cstheme="minorBidi"/>
        </w:rPr>
        <w:t>s</w:t>
      </w:r>
      <w:r>
        <w:rPr>
          <w:rFonts w:ascii="Palatino Linotype" w:hAnsi="Palatino Linotype" w:cstheme="minorBidi"/>
        </w:rPr>
        <w:t>gender communities</w:t>
      </w:r>
      <w:r w:rsidR="0099700E">
        <w:rPr>
          <w:rFonts w:ascii="Palatino Linotype" w:hAnsi="Palatino Linotype" w:cstheme="minorBidi"/>
        </w:rPr>
        <w:t xml:space="preserve"> or others who are not specifically covered by Arizona’s public accommodations and civil rights laws.</w:t>
      </w:r>
      <w:r>
        <w:rPr>
          <w:rFonts w:ascii="Palatino Linotype" w:hAnsi="Palatino Linotype" w:cstheme="minorBidi"/>
        </w:rPr>
        <w:t xml:space="preserve"> Below is a very condensed version of the history and background.  </w:t>
      </w:r>
      <w:r w:rsidR="005D10FE" w:rsidRPr="007A1B20">
        <w:rPr>
          <w:rFonts w:ascii="Palatino Linotype" w:hAnsi="Palatino Linotype" w:cstheme="minorBidi"/>
        </w:rPr>
        <w:t xml:space="preserve">  </w:t>
      </w:r>
    </w:p>
    <w:p w:rsidR="005D10FE" w:rsidRPr="007A1B20" w:rsidRDefault="005D10FE" w:rsidP="005D10FE">
      <w:pPr>
        <w:pStyle w:val="ListParagraph"/>
        <w:numPr>
          <w:ilvl w:val="0"/>
          <w:numId w:val="1"/>
        </w:numPr>
        <w:rPr>
          <w:rFonts w:ascii="Palatino Linotype" w:hAnsi="Palatino Linotype" w:cstheme="minorBidi"/>
        </w:rPr>
      </w:pPr>
      <w:r w:rsidRPr="007A1B20">
        <w:rPr>
          <w:rFonts w:ascii="Palatino Linotype" w:hAnsi="Palatino Linotype" w:cstheme="minorBidi"/>
        </w:rPr>
        <w:t xml:space="preserve"> In 1990 the U.S. Supreme court, in its </w:t>
      </w:r>
      <w:r w:rsidRPr="007A1B20">
        <w:rPr>
          <w:rFonts w:ascii="Palatino Linotype" w:hAnsi="Palatino Linotype" w:cstheme="minorBidi"/>
          <w:i/>
        </w:rPr>
        <w:t xml:space="preserve">Smith </w:t>
      </w:r>
      <w:r w:rsidRPr="007A1B20">
        <w:rPr>
          <w:rFonts w:ascii="Palatino Linotype" w:hAnsi="Palatino Linotype" w:cstheme="minorBidi"/>
        </w:rPr>
        <w:t xml:space="preserve">decision changed the standard for burdening religious liberty.  The “old” model was that the government had to show a regulation was backed by a compelling governmental interest and pursued by the least restrictive means.  The </w:t>
      </w:r>
      <w:r w:rsidRPr="007A1B20">
        <w:rPr>
          <w:rFonts w:ascii="Palatino Linotype" w:hAnsi="Palatino Linotype" w:cstheme="minorBidi"/>
          <w:i/>
        </w:rPr>
        <w:t xml:space="preserve">Smith </w:t>
      </w:r>
      <w:r w:rsidRPr="007A1B20">
        <w:rPr>
          <w:rFonts w:ascii="Palatino Linotype" w:hAnsi="Palatino Linotype" w:cstheme="minorBidi"/>
        </w:rPr>
        <w:t xml:space="preserve">model was that religious infringement did not occur if the laws were neutral and generally applicable. </w:t>
      </w:r>
    </w:p>
    <w:p w:rsidR="005D10FE" w:rsidRPr="007A1B20" w:rsidRDefault="005D10FE" w:rsidP="005D10FE">
      <w:pPr>
        <w:pStyle w:val="ListParagraph"/>
        <w:numPr>
          <w:ilvl w:val="0"/>
          <w:numId w:val="1"/>
        </w:numPr>
        <w:rPr>
          <w:rFonts w:ascii="Palatino Linotype" w:hAnsi="Palatino Linotype" w:cstheme="minorBidi"/>
        </w:rPr>
      </w:pPr>
      <w:r w:rsidRPr="007A1B20">
        <w:rPr>
          <w:rFonts w:ascii="Palatino Linotype" w:hAnsi="Palatino Linotype" w:cstheme="minorBidi"/>
        </w:rPr>
        <w:t xml:space="preserve">In response, </w:t>
      </w:r>
      <w:r w:rsidR="007A1B20">
        <w:rPr>
          <w:rFonts w:ascii="Palatino Linotype" w:hAnsi="Palatino Linotype" w:cstheme="minorBidi"/>
        </w:rPr>
        <w:t>C</w:t>
      </w:r>
      <w:r w:rsidRPr="007A1B20">
        <w:rPr>
          <w:rFonts w:ascii="Palatino Linotype" w:hAnsi="Palatino Linotype" w:cstheme="minorBidi"/>
        </w:rPr>
        <w:t>ongress passed the Religious Freedom and Restoration act, which restored the “old” standard – but later court rulings said this only applied to federal laws.</w:t>
      </w:r>
    </w:p>
    <w:p w:rsidR="005D10FE" w:rsidRPr="007A1B20" w:rsidRDefault="005D10FE" w:rsidP="005D10FE">
      <w:pPr>
        <w:pStyle w:val="ListParagraph"/>
        <w:numPr>
          <w:ilvl w:val="0"/>
          <w:numId w:val="1"/>
        </w:numPr>
        <w:rPr>
          <w:rFonts w:ascii="Palatino Linotype" w:hAnsi="Palatino Linotype" w:cstheme="minorBidi"/>
        </w:rPr>
      </w:pPr>
      <w:r w:rsidRPr="007A1B20">
        <w:rPr>
          <w:rFonts w:ascii="Palatino Linotype" w:hAnsi="Palatino Linotype" w:cstheme="minorBidi"/>
        </w:rPr>
        <w:t>States then began passing state-level religious freedom restoration acts</w:t>
      </w:r>
      <w:r w:rsidR="005E2ECD">
        <w:rPr>
          <w:rFonts w:ascii="Palatino Linotype" w:hAnsi="Palatino Linotype" w:cstheme="minorBidi"/>
        </w:rPr>
        <w:t xml:space="preserve"> (RFRA)</w:t>
      </w:r>
      <w:r w:rsidRPr="007A1B20">
        <w:rPr>
          <w:rFonts w:ascii="Palatino Linotype" w:hAnsi="Palatino Linotype" w:cstheme="minorBidi"/>
        </w:rPr>
        <w:t>, to protect against religious infringement by state and local ordinances and so far 16 have done so, including Arizona.  Many states however, introduced RFRA legislation but defeated it, including California, Georgia, Kansas, Louisiana, Maryland, Michigan, NH, NJ, NY, Oregon, PA, Tennesse</w:t>
      </w:r>
      <w:r w:rsidR="005E2ECD">
        <w:rPr>
          <w:rFonts w:ascii="Palatino Linotype" w:hAnsi="Palatino Linotype" w:cstheme="minorBidi"/>
        </w:rPr>
        <w:t>e</w:t>
      </w:r>
      <w:r w:rsidRPr="007A1B20">
        <w:rPr>
          <w:rFonts w:ascii="Palatino Linotype" w:hAnsi="Palatino Linotype" w:cstheme="minorBidi"/>
        </w:rPr>
        <w:t>, Vermont, Virginia, and over the years bills also have failed or failed again in Hawaii, Indiana, Kansas, Kentucky, LA, Nevada, Oregon, NY, NC and West Virginia (</w:t>
      </w:r>
      <w:r w:rsidRPr="007A1B20">
        <w:rPr>
          <w:rFonts w:ascii="Palatino Linotype" w:hAnsi="Palatino Linotype"/>
          <w:i/>
          <w:iCs/>
        </w:rPr>
        <w:t xml:space="preserve">See </w:t>
      </w:r>
      <w:r w:rsidRPr="007A1B20">
        <w:rPr>
          <w:rFonts w:ascii="Palatino Linotype" w:hAnsi="Palatino Linotype"/>
        </w:rPr>
        <w:t xml:space="preserve">Eugene </w:t>
      </w:r>
      <w:proofErr w:type="spellStart"/>
      <w:r w:rsidRPr="007A1B20">
        <w:rPr>
          <w:rFonts w:ascii="Palatino Linotype" w:hAnsi="Palatino Linotype"/>
        </w:rPr>
        <w:t>Volokh</w:t>
      </w:r>
      <w:proofErr w:type="spellEnd"/>
      <w:r w:rsidRPr="007A1B20">
        <w:rPr>
          <w:rFonts w:ascii="Palatino Linotype" w:hAnsi="Palatino Linotype"/>
        </w:rPr>
        <w:t xml:space="preserve">, </w:t>
      </w:r>
      <w:r w:rsidRPr="007A1B20">
        <w:rPr>
          <w:rFonts w:ascii="Palatino Linotype" w:hAnsi="Palatino Linotype"/>
          <w:i/>
          <w:iCs/>
        </w:rPr>
        <w:t>A Common-Law Model for Religious Exemptions</w:t>
      </w:r>
      <w:r w:rsidRPr="007A1B20">
        <w:rPr>
          <w:rFonts w:ascii="Palatino Linotype" w:hAnsi="Palatino Linotype"/>
        </w:rPr>
        <w:t>, 46 UCLA L. REV. 1465, 1468 n.6 (1999).</w:t>
      </w:r>
    </w:p>
    <w:p w:rsidR="005D10FE" w:rsidRDefault="005E2ECD" w:rsidP="005D10FE">
      <w:pPr>
        <w:pStyle w:val="ListParagraph"/>
        <w:numPr>
          <w:ilvl w:val="0"/>
          <w:numId w:val="1"/>
        </w:numPr>
        <w:rPr>
          <w:rFonts w:ascii="Palatino Linotype" w:hAnsi="Palatino Linotype" w:cstheme="minorBidi"/>
        </w:rPr>
      </w:pPr>
      <w:r>
        <w:rPr>
          <w:rFonts w:ascii="Palatino Linotype" w:hAnsi="Palatino Linotype" w:cstheme="minorBidi"/>
        </w:rPr>
        <w:t xml:space="preserve">In 2013, </w:t>
      </w:r>
      <w:r w:rsidR="005D10FE" w:rsidRPr="007A1B20">
        <w:rPr>
          <w:rFonts w:ascii="Palatino Linotype" w:hAnsi="Palatino Linotype" w:cstheme="minorBidi"/>
        </w:rPr>
        <w:t xml:space="preserve">Kentucky overrode a Governor’s veto to pass RFRA, Kansas passed it </w:t>
      </w:r>
      <w:r>
        <w:rPr>
          <w:rFonts w:ascii="Palatino Linotype" w:hAnsi="Palatino Linotype" w:cstheme="minorBidi"/>
        </w:rPr>
        <w:t>in 2013 as did Nevada.  Arizona passed</w:t>
      </w:r>
      <w:r w:rsidR="0036042B">
        <w:rPr>
          <w:rFonts w:ascii="Palatino Linotype" w:hAnsi="Palatino Linotype" w:cstheme="minorBidi"/>
        </w:rPr>
        <w:t xml:space="preserve"> amendments that would extend the scope of its RFRA</w:t>
      </w:r>
      <w:r>
        <w:rPr>
          <w:rFonts w:ascii="Palatino Linotype" w:hAnsi="Palatino Linotype" w:cstheme="minorBidi"/>
        </w:rPr>
        <w:t xml:space="preserve"> but Governor Brewer vetoed it – not because she opposed it, but because it was one of the five bills on her desk at the time she had threatened the legislature with vetoing every bill they sent until they approved Medicaid expansion.  </w:t>
      </w:r>
      <w:r w:rsidR="00023AC3">
        <w:rPr>
          <w:rFonts w:ascii="Palatino Linotype" w:hAnsi="Palatino Linotype" w:cstheme="minorBidi"/>
        </w:rPr>
        <w:t xml:space="preserve">Maine is currently considering a similar bill. </w:t>
      </w:r>
    </w:p>
    <w:p w:rsidR="000376B6" w:rsidRPr="000376B6" w:rsidRDefault="005D10FE" w:rsidP="005D10FE">
      <w:pPr>
        <w:pStyle w:val="ListParagraph"/>
        <w:numPr>
          <w:ilvl w:val="0"/>
          <w:numId w:val="1"/>
        </w:numPr>
        <w:rPr>
          <w:rFonts w:ascii="Palatino Linotype" w:hAnsi="Palatino Linotype"/>
        </w:rPr>
      </w:pPr>
      <w:r w:rsidRPr="007A1B20">
        <w:rPr>
          <w:rFonts w:ascii="Palatino Linotype" w:hAnsi="Palatino Linotype" w:cstheme="minorBidi"/>
        </w:rPr>
        <w:t xml:space="preserve">According to </w:t>
      </w:r>
      <w:r w:rsidR="007A1B20">
        <w:rPr>
          <w:rFonts w:ascii="Palatino Linotype" w:hAnsi="Palatino Linotype" w:cstheme="minorBidi"/>
        </w:rPr>
        <w:t xml:space="preserve">published papers, </w:t>
      </w:r>
      <w:r w:rsidRPr="007A1B20">
        <w:rPr>
          <w:rFonts w:ascii="Palatino Linotype" w:hAnsi="Palatino Linotype" w:cstheme="minorBidi"/>
        </w:rPr>
        <w:t xml:space="preserve">the state-level RFRAs aren’t working very well – at least, not very well from the point of view of those who want really strong religious infringement protections.  See </w:t>
      </w:r>
      <w:r w:rsidR="000376B6">
        <w:rPr>
          <w:rFonts w:ascii="Palatino Linotype" w:hAnsi="Palatino Linotype" w:cstheme="minorBidi"/>
        </w:rPr>
        <w:t xml:space="preserve">Lund:  </w:t>
      </w:r>
      <w:hyperlink r:id="rId6" w:history="1">
        <w:r w:rsidR="000376B6" w:rsidRPr="006D495D">
          <w:rPr>
            <w:rStyle w:val="Hyperlink"/>
            <w:rFonts w:ascii="Palatino Linotype" w:hAnsi="Palatino Linotype" w:cstheme="minorBidi"/>
          </w:rPr>
          <w:t>http://papers.ssrn.com/sol3/papers.cfm?abstract_id=1666268</w:t>
        </w:r>
      </w:hyperlink>
      <w:r w:rsidRPr="007A1B20">
        <w:rPr>
          <w:rFonts w:ascii="Palatino Linotype" w:hAnsi="Palatino Linotype" w:cstheme="minorBidi"/>
        </w:rPr>
        <w:t xml:space="preserve">   </w:t>
      </w:r>
      <w:r w:rsidR="000376B6">
        <w:rPr>
          <w:rFonts w:ascii="Palatino Linotype" w:hAnsi="Palatino Linotype" w:cstheme="minorBidi"/>
        </w:rPr>
        <w:t xml:space="preserve">and also </w:t>
      </w:r>
    </w:p>
    <w:p w:rsidR="005D10FE" w:rsidRPr="007A1B20" w:rsidRDefault="00917D0E" w:rsidP="000376B6">
      <w:pPr>
        <w:pStyle w:val="ListParagraph"/>
        <w:rPr>
          <w:rFonts w:ascii="Palatino Linotype" w:hAnsi="Palatino Linotype"/>
        </w:rPr>
      </w:pPr>
      <w:hyperlink r:id="rId7" w:history="1">
        <w:r w:rsidR="005D10FE" w:rsidRPr="007A1B20">
          <w:rPr>
            <w:rStyle w:val="Hyperlink"/>
            <w:rFonts w:ascii="Palatino Linotype" w:hAnsi="Palatino Linotype"/>
            <w:color w:val="auto"/>
          </w:rPr>
          <w:t>http://www.virginialawreview.org/content/pdfs/99/2/343.pdf</w:t>
        </w:r>
      </w:hyperlink>
    </w:p>
    <w:p w:rsidR="005D10FE" w:rsidRPr="007A1B20" w:rsidRDefault="005D10FE" w:rsidP="005D10FE">
      <w:pPr>
        <w:pStyle w:val="ListParagraph"/>
        <w:numPr>
          <w:ilvl w:val="0"/>
          <w:numId w:val="1"/>
        </w:numPr>
        <w:rPr>
          <w:rFonts w:ascii="Palatino Linotype" w:hAnsi="Palatino Linotype"/>
          <w:b/>
        </w:rPr>
      </w:pPr>
      <w:r w:rsidRPr="007A1B20">
        <w:rPr>
          <w:rFonts w:ascii="Palatino Linotype" w:hAnsi="Palatino Linotype" w:cstheme="minorBidi"/>
          <w:b/>
        </w:rPr>
        <w:t>The New Mexico Case:</w:t>
      </w:r>
      <w:r w:rsidRPr="007A1B20">
        <w:rPr>
          <w:rFonts w:ascii="Palatino Linotype" w:hAnsi="Palatino Linotype" w:cstheme="minorBidi"/>
        </w:rPr>
        <w:t xml:space="preserve">  In march of </w:t>
      </w:r>
      <w:proofErr w:type="gramStart"/>
      <w:r w:rsidRPr="007A1B20">
        <w:rPr>
          <w:rFonts w:ascii="Palatino Linotype" w:hAnsi="Palatino Linotype" w:cstheme="minorBidi"/>
        </w:rPr>
        <w:t>2012  a</w:t>
      </w:r>
      <w:proofErr w:type="gramEnd"/>
      <w:r w:rsidRPr="007A1B20">
        <w:rPr>
          <w:rFonts w:ascii="Palatino Linotype" w:hAnsi="Palatino Linotype" w:cstheme="minorBidi"/>
        </w:rPr>
        <w:t xml:space="preserve"> New Mexico court ruled in  </w:t>
      </w:r>
      <w:proofErr w:type="spellStart"/>
      <w:r w:rsidRPr="007A1B20">
        <w:rPr>
          <w:rFonts w:ascii="Palatino Linotype" w:hAnsi="Palatino Linotype"/>
          <w:i/>
          <w:iCs/>
        </w:rPr>
        <w:t>Elane</w:t>
      </w:r>
      <w:proofErr w:type="spellEnd"/>
      <w:r w:rsidRPr="007A1B20">
        <w:rPr>
          <w:rFonts w:ascii="Palatino Linotype" w:hAnsi="Palatino Linotype"/>
          <w:i/>
          <w:iCs/>
        </w:rPr>
        <w:t xml:space="preserve"> Photography v. </w:t>
      </w:r>
      <w:proofErr w:type="spellStart"/>
      <w:r w:rsidRPr="007A1B20">
        <w:rPr>
          <w:rFonts w:ascii="Palatino Linotype" w:hAnsi="Palatino Linotype"/>
          <w:i/>
          <w:iCs/>
        </w:rPr>
        <w:t>Willock</w:t>
      </w:r>
      <w:proofErr w:type="spellEnd"/>
      <w:r w:rsidRPr="007A1B20">
        <w:rPr>
          <w:rFonts w:ascii="Palatino Linotype" w:hAnsi="Palatino Linotype"/>
        </w:rPr>
        <w:t xml:space="preserve">, that New Mexico’s RFRA did not apply because a private party was trying to enforce a law against another private party.  In that case, a </w:t>
      </w:r>
      <w:r w:rsidRPr="007A1B20">
        <w:rPr>
          <w:rFonts w:ascii="Palatino Linotype" w:hAnsi="Palatino Linotype"/>
        </w:rPr>
        <w:lastRenderedPageBreak/>
        <w:t>photographer refused to take the wedding pictures of a same sex couple, and they sued</w:t>
      </w:r>
      <w:r w:rsidR="00832604">
        <w:rPr>
          <w:rFonts w:ascii="Palatino Linotype" w:hAnsi="Palatino Linotype"/>
        </w:rPr>
        <w:t xml:space="preserve"> under New Mexico’s human rights law</w:t>
      </w:r>
      <w:r w:rsidRPr="007A1B20">
        <w:rPr>
          <w:rFonts w:ascii="Palatino Linotype" w:hAnsi="Palatino Linotype"/>
        </w:rPr>
        <w:t xml:space="preserve">.  The appeals court ruled against the photographer and fined her.  That is, New Mexico’s RFRA did not protect her and she (since she in a public </w:t>
      </w:r>
      <w:proofErr w:type="gramStart"/>
      <w:r w:rsidRPr="007A1B20">
        <w:rPr>
          <w:rFonts w:ascii="Palatino Linotype" w:hAnsi="Palatino Linotype"/>
        </w:rPr>
        <w:t>ac</w:t>
      </w:r>
      <w:r w:rsidR="00EE72CE">
        <w:rPr>
          <w:rFonts w:ascii="Palatino Linotype" w:hAnsi="Palatino Linotype"/>
        </w:rPr>
        <w:t>c</w:t>
      </w:r>
      <w:r w:rsidRPr="007A1B20">
        <w:rPr>
          <w:rFonts w:ascii="Palatino Linotype" w:hAnsi="Palatino Linotype"/>
        </w:rPr>
        <w:t>o</w:t>
      </w:r>
      <w:r w:rsidR="00A706C8">
        <w:rPr>
          <w:rFonts w:ascii="Palatino Linotype" w:hAnsi="Palatino Linotype"/>
        </w:rPr>
        <w:t>m</w:t>
      </w:r>
      <w:r w:rsidRPr="007A1B20">
        <w:rPr>
          <w:rFonts w:ascii="Palatino Linotype" w:hAnsi="Palatino Linotype"/>
        </w:rPr>
        <w:t xml:space="preserve">modation </w:t>
      </w:r>
      <w:r w:rsidR="00832604">
        <w:rPr>
          <w:rFonts w:ascii="Palatino Linotype" w:hAnsi="Palatino Linotype"/>
        </w:rPr>
        <w:t xml:space="preserve"> business</w:t>
      </w:r>
      <w:proofErr w:type="gramEnd"/>
      <w:r w:rsidRPr="007A1B20">
        <w:rPr>
          <w:rFonts w:ascii="Palatino Linotype" w:hAnsi="Palatino Linotype"/>
        </w:rPr>
        <w:t>) would have to take their pictures.</w:t>
      </w:r>
      <w:r w:rsidR="00A706C8">
        <w:rPr>
          <w:rFonts w:ascii="Palatino Linotype" w:hAnsi="Palatino Linotype"/>
        </w:rPr>
        <w:t xml:space="preserve">  Arizona supporters of the bills cite this case as their reason for introducing it – to protect people in Arizona from a court ruling that they might have to provide public accommodation services to gay couples or others they consider “sinful.”  </w:t>
      </w:r>
    </w:p>
    <w:p w:rsidR="00C52659" w:rsidRPr="00C52659" w:rsidRDefault="005D10FE" w:rsidP="00EE72CE">
      <w:pPr>
        <w:pStyle w:val="ListParagraph"/>
        <w:numPr>
          <w:ilvl w:val="0"/>
          <w:numId w:val="1"/>
        </w:numPr>
        <w:rPr>
          <w:rFonts w:ascii="Palatino Linotype" w:eastAsia="Times New Roman" w:hAnsi="Palatino Linotype"/>
        </w:rPr>
      </w:pPr>
      <w:r w:rsidRPr="00C52659">
        <w:rPr>
          <w:rFonts w:ascii="Palatino Linotype" w:hAnsi="Palatino Linotype"/>
          <w:b/>
        </w:rPr>
        <w:t>In March, 2013 the NM Supreme Court began hearing arguments about this</w:t>
      </w:r>
      <w:r w:rsidR="005E2ECD" w:rsidRPr="00C52659">
        <w:rPr>
          <w:rFonts w:ascii="Palatino Linotype" w:hAnsi="Palatino Linotype"/>
          <w:b/>
        </w:rPr>
        <w:t xml:space="preserve"> case and they upheld the lower court ruling. </w:t>
      </w:r>
      <w:r w:rsidRPr="00C52659">
        <w:rPr>
          <w:rFonts w:ascii="Palatino Linotype" w:hAnsi="Palatino Linotype"/>
          <w:b/>
        </w:rPr>
        <w:t xml:space="preserve"> </w:t>
      </w:r>
      <w:r w:rsidR="00832604" w:rsidRPr="00C52659">
        <w:rPr>
          <w:rFonts w:ascii="Palatino Linotype" w:hAnsi="Palatino Linotype"/>
          <w:b/>
        </w:rPr>
        <w:t xml:space="preserve">Their RFRA was not a protection against violation of an anti-discrimination law.  </w:t>
      </w:r>
      <w:r w:rsidR="000C08AF">
        <w:rPr>
          <w:rFonts w:ascii="Palatino Linotype" w:hAnsi="Palatino Linotype"/>
          <w:b/>
        </w:rPr>
        <w:t xml:space="preserve">The </w:t>
      </w:r>
      <w:r w:rsidRPr="00C52659">
        <w:rPr>
          <w:rFonts w:ascii="Palatino Linotype" w:hAnsi="Palatino Linotype" w:cstheme="minorBidi"/>
        </w:rPr>
        <w:t xml:space="preserve">Arizona law </w:t>
      </w:r>
      <w:r w:rsidR="000C08AF">
        <w:rPr>
          <w:rFonts w:ascii="Palatino Linotype" w:hAnsi="Palatino Linotype" w:cstheme="minorBidi"/>
        </w:rPr>
        <w:t xml:space="preserve">would be a national trend-setter </w:t>
      </w:r>
      <w:r w:rsidR="00EE72CE" w:rsidRPr="00C52659">
        <w:rPr>
          <w:rFonts w:ascii="Palatino Linotype" w:hAnsi="Palatino Linotype" w:cstheme="minorBidi"/>
        </w:rPr>
        <w:t xml:space="preserve">several </w:t>
      </w:r>
      <w:r w:rsidRPr="00C52659">
        <w:rPr>
          <w:rFonts w:ascii="Palatino Linotype" w:hAnsi="Palatino Linotype" w:cstheme="minorBidi"/>
        </w:rPr>
        <w:t xml:space="preserve">ways.  </w:t>
      </w:r>
    </w:p>
    <w:p w:rsidR="00C52659" w:rsidRPr="00C52659" w:rsidRDefault="005D10FE" w:rsidP="00EE72CE">
      <w:pPr>
        <w:pStyle w:val="ListParagraph"/>
        <w:numPr>
          <w:ilvl w:val="0"/>
          <w:numId w:val="1"/>
        </w:numPr>
        <w:rPr>
          <w:rFonts w:ascii="Palatino Linotype" w:eastAsia="Times New Roman" w:hAnsi="Palatino Linotype"/>
        </w:rPr>
      </w:pPr>
      <w:r w:rsidRPr="00C52659">
        <w:rPr>
          <w:rFonts w:ascii="Palatino Linotype" w:hAnsi="Palatino Linotype" w:cstheme="minorBidi"/>
        </w:rPr>
        <w:t>First, Arizona already has an RFRA.  SB1</w:t>
      </w:r>
      <w:r w:rsidR="005E2ECD" w:rsidRPr="00C52659">
        <w:rPr>
          <w:rFonts w:ascii="Palatino Linotype" w:hAnsi="Palatino Linotype" w:cstheme="minorBidi"/>
        </w:rPr>
        <w:t xml:space="preserve">062 </w:t>
      </w:r>
      <w:r w:rsidR="002665DF" w:rsidRPr="00C52659">
        <w:rPr>
          <w:rFonts w:ascii="Palatino Linotype" w:hAnsi="Palatino Linotype" w:cstheme="minorBidi"/>
        </w:rPr>
        <w:t xml:space="preserve">and HB2153 </w:t>
      </w:r>
      <w:r w:rsidR="005E2ECD" w:rsidRPr="00C52659">
        <w:rPr>
          <w:rFonts w:ascii="Palatino Linotype" w:hAnsi="Palatino Linotype" w:cstheme="minorBidi"/>
        </w:rPr>
        <w:t>would</w:t>
      </w:r>
      <w:r w:rsidRPr="00C52659">
        <w:rPr>
          <w:rFonts w:ascii="Palatino Linotype" w:hAnsi="Palatino Linotype" w:cstheme="minorBidi"/>
        </w:rPr>
        <w:t xml:space="preserve"> allow a private party</w:t>
      </w:r>
      <w:r w:rsidR="00B81360" w:rsidRPr="00C52659">
        <w:rPr>
          <w:rFonts w:ascii="Palatino Linotype" w:hAnsi="Palatino Linotype" w:cstheme="minorBidi"/>
        </w:rPr>
        <w:t xml:space="preserve"> </w:t>
      </w:r>
      <w:r w:rsidR="00987633" w:rsidRPr="00C52659">
        <w:rPr>
          <w:rFonts w:ascii="Palatino Linotype" w:hAnsi="Palatino Linotype" w:cstheme="minorBidi"/>
        </w:rPr>
        <w:t>who is being sued over discrimination to claim that the anti-discrimination law infringes on their religious beliefs.  T</w:t>
      </w:r>
      <w:r w:rsidRPr="00C52659">
        <w:rPr>
          <w:rFonts w:ascii="Palatino Linotype" w:hAnsi="Palatino Linotype" w:cstheme="minorBidi"/>
        </w:rPr>
        <w:t xml:space="preserve">he government does not have to be a party to the suit.  </w:t>
      </w:r>
    </w:p>
    <w:p w:rsidR="00C52659" w:rsidRPr="00C52659" w:rsidRDefault="005E2ECD" w:rsidP="00EE72CE">
      <w:pPr>
        <w:pStyle w:val="ListParagraph"/>
        <w:numPr>
          <w:ilvl w:val="0"/>
          <w:numId w:val="1"/>
        </w:numPr>
        <w:rPr>
          <w:rFonts w:ascii="Palatino Linotype" w:eastAsia="Times New Roman" w:hAnsi="Palatino Linotype"/>
        </w:rPr>
      </w:pPr>
      <w:r w:rsidRPr="00C52659">
        <w:rPr>
          <w:rFonts w:ascii="Palatino Linotype" w:hAnsi="Palatino Linotype" w:cstheme="minorBidi"/>
        </w:rPr>
        <w:t xml:space="preserve">Second, the Arizona law, if passed, greatly expands the definition of “person” who can </w:t>
      </w:r>
      <w:r w:rsidR="00987633" w:rsidRPr="00C52659">
        <w:rPr>
          <w:rFonts w:ascii="Palatino Linotype" w:hAnsi="Palatino Linotype" w:cstheme="minorBidi"/>
        </w:rPr>
        <w:t xml:space="preserve">use the religious infringement </w:t>
      </w:r>
      <w:proofErr w:type="gramStart"/>
      <w:r w:rsidR="00987633" w:rsidRPr="00C52659">
        <w:rPr>
          <w:rFonts w:ascii="Palatino Linotype" w:hAnsi="Palatino Linotype" w:cstheme="minorBidi"/>
        </w:rPr>
        <w:t xml:space="preserve">claim </w:t>
      </w:r>
      <w:r w:rsidRPr="00C52659">
        <w:rPr>
          <w:rFonts w:ascii="Palatino Linotype" w:hAnsi="Palatino Linotype" w:cstheme="minorBidi"/>
        </w:rPr>
        <w:t xml:space="preserve"> so</w:t>
      </w:r>
      <w:proofErr w:type="gramEnd"/>
      <w:r w:rsidRPr="00C52659">
        <w:rPr>
          <w:rFonts w:ascii="Palatino Linotype" w:hAnsi="Palatino Linotype" w:cstheme="minorBidi"/>
        </w:rPr>
        <w:t xml:space="preserve"> that “person” includes not just an individual, but also corporations, organizations, local agencies and governments.  </w:t>
      </w:r>
      <w:r w:rsidR="00EE72CE" w:rsidRPr="00C52659">
        <w:rPr>
          <w:rFonts w:ascii="Palatino Linotype" w:hAnsi="Palatino Linotype" w:cstheme="minorBidi"/>
        </w:rPr>
        <w:t xml:space="preserve">This enables a business to claim that it has a sincerely held religious belief and its employees or customers could be discriminated against if their behavior, dress, or values were in conflict.  </w:t>
      </w:r>
    </w:p>
    <w:p w:rsidR="00C52659" w:rsidRDefault="005B742F" w:rsidP="00EE72CE">
      <w:pPr>
        <w:pStyle w:val="ListParagraph"/>
        <w:numPr>
          <w:ilvl w:val="0"/>
          <w:numId w:val="1"/>
        </w:numPr>
        <w:rPr>
          <w:rFonts w:ascii="Palatino Linotype" w:eastAsia="Times New Roman" w:hAnsi="Palatino Linotype"/>
        </w:rPr>
      </w:pPr>
      <w:r w:rsidRPr="00C52659">
        <w:rPr>
          <w:rFonts w:ascii="Palatino Linotype" w:hAnsi="Palatino Linotype" w:cstheme="minorBidi"/>
        </w:rPr>
        <w:t xml:space="preserve">Third, </w:t>
      </w:r>
      <w:r w:rsidRPr="00C52659">
        <w:rPr>
          <w:rFonts w:ascii="Palatino Linotype" w:hAnsi="Palatino Linotype"/>
        </w:rPr>
        <w:t>it permit</w:t>
      </w:r>
      <w:r w:rsidR="000C08AF">
        <w:rPr>
          <w:rFonts w:ascii="Palatino Linotype" w:hAnsi="Palatino Linotype"/>
        </w:rPr>
        <w:t>s</w:t>
      </w:r>
      <w:r w:rsidRPr="00C52659">
        <w:rPr>
          <w:rFonts w:ascii="Palatino Linotype" w:hAnsi="Palatino Linotype"/>
        </w:rPr>
        <w:t xml:space="preserve"> </w:t>
      </w:r>
      <w:r w:rsidRPr="00C52659">
        <w:rPr>
          <w:rFonts w:ascii="Palatino Linotype" w:eastAsia="Times New Roman" w:hAnsi="Palatino Linotype"/>
        </w:rPr>
        <w:t xml:space="preserve"> a person or business to </w:t>
      </w:r>
      <w:r w:rsidR="000C08AF">
        <w:rPr>
          <w:rFonts w:ascii="Palatino Linotype" w:eastAsia="Times New Roman" w:hAnsi="Palatino Linotype"/>
        </w:rPr>
        <w:t>discriminate</w:t>
      </w:r>
      <w:r w:rsidRPr="00C52659">
        <w:rPr>
          <w:rFonts w:ascii="Palatino Linotype" w:eastAsia="Times New Roman" w:hAnsi="Palatino Linotype"/>
        </w:rPr>
        <w:t xml:space="preserve">, not only when the person's religious belief </w:t>
      </w:r>
      <w:r w:rsidRPr="00C52659">
        <w:rPr>
          <w:rFonts w:ascii="Palatino Linotype" w:eastAsia="Times New Roman" w:hAnsi="Palatino Linotype"/>
          <w:i/>
          <w:iCs/>
        </w:rPr>
        <w:t xml:space="preserve">prohibits </w:t>
      </w:r>
      <w:r w:rsidRPr="00C52659">
        <w:rPr>
          <w:rFonts w:ascii="Palatino Linotype" w:eastAsia="Times New Roman" w:hAnsi="Palatino Linotype"/>
        </w:rPr>
        <w:t xml:space="preserve">the person from </w:t>
      </w:r>
      <w:r w:rsidR="000C08AF">
        <w:rPr>
          <w:rFonts w:ascii="Palatino Linotype" w:eastAsia="Times New Roman" w:hAnsi="Palatino Linotype"/>
        </w:rPr>
        <w:t xml:space="preserve">providing equal treatment, but </w:t>
      </w:r>
      <w:r w:rsidRPr="00C52659">
        <w:rPr>
          <w:rFonts w:ascii="Palatino Linotype" w:eastAsia="Times New Roman" w:hAnsi="Palatino Linotype"/>
        </w:rPr>
        <w:t xml:space="preserve"> also when the refusal to comply is "</w:t>
      </w:r>
      <w:r w:rsidRPr="00C52659">
        <w:rPr>
          <w:rFonts w:ascii="Palatino Linotype" w:eastAsia="Times New Roman" w:hAnsi="Palatino Linotype"/>
          <w:i/>
          <w:iCs/>
        </w:rPr>
        <w:t>motivated by</w:t>
      </w:r>
      <w:r w:rsidRPr="00C52659">
        <w:rPr>
          <w:rFonts w:ascii="Palatino Linotype" w:eastAsia="Times New Roman" w:hAnsi="Palatino Linotype"/>
        </w:rPr>
        <w:t xml:space="preserve"> a religious belief,"</w:t>
      </w:r>
      <w:r w:rsidRPr="00C52659">
        <w:rPr>
          <w:rFonts w:ascii="Palatino Linotype" w:eastAsia="Times New Roman" w:hAnsi="Palatino Linotype"/>
          <w:i/>
          <w:iCs/>
        </w:rPr>
        <w:t xml:space="preserve"> whether or not the refusal is "compulsory or central to" the relevant system of religious belief.</w:t>
      </w:r>
      <w:r w:rsidRPr="00C52659">
        <w:rPr>
          <w:rFonts w:ascii="Palatino Linotype" w:eastAsia="Times New Roman" w:hAnsi="Palatino Linotype"/>
        </w:rPr>
        <w:t xml:space="preserve"> So if a person wants to refuse to hire a woman because the person believes that women should not work for money, the bills would apparently give immunity from prosecution or civil liability, not only when the person's religion prohibits hiring women, but also when the person thinks the religion opposes the hiring of women, even when it does not.  This law leaves it up to someone who discriminates to decide whether he or she </w:t>
      </w:r>
      <w:r w:rsidRPr="00C52659">
        <w:rPr>
          <w:rFonts w:ascii="Palatino Linotype" w:eastAsia="Times New Roman" w:hAnsi="Palatino Linotype"/>
          <w:i/>
          <w:iCs/>
        </w:rPr>
        <w:t>thinks</w:t>
      </w:r>
      <w:r w:rsidRPr="00C52659">
        <w:rPr>
          <w:rFonts w:ascii="Palatino Linotype" w:eastAsia="Times New Roman" w:hAnsi="Palatino Linotype"/>
        </w:rPr>
        <w:t xml:space="preserve"> that his or her religion requires discrimination, whether or not the tenets of the religion actually require or even counsel discrimination.  These provisions could potentially provide anyone with a license to be a bigot. </w:t>
      </w:r>
    </w:p>
    <w:p w:rsidR="005E2ECD" w:rsidRPr="00C52659" w:rsidRDefault="005B742F" w:rsidP="00EE72CE">
      <w:pPr>
        <w:pStyle w:val="ListParagraph"/>
        <w:numPr>
          <w:ilvl w:val="0"/>
          <w:numId w:val="1"/>
        </w:numPr>
        <w:rPr>
          <w:rFonts w:ascii="Palatino Linotype" w:hAnsi="Palatino Linotype" w:cstheme="minorBidi"/>
        </w:rPr>
      </w:pPr>
      <w:r w:rsidRPr="00C52659">
        <w:rPr>
          <w:rFonts w:ascii="Palatino Linotype" w:eastAsia="Times New Roman" w:hAnsi="Palatino Linotype"/>
        </w:rPr>
        <w:t xml:space="preserve">Fourth, </w:t>
      </w:r>
      <w:r w:rsidR="000C08AF">
        <w:rPr>
          <w:rFonts w:ascii="Palatino Linotype" w:eastAsia="Times New Roman" w:hAnsi="Palatino Linotype"/>
        </w:rPr>
        <w:t xml:space="preserve">supporters of the law have claimed that groups protected explicitly by anti-discrimination laws would still be protected, but the GLBT people in Arizona are not included and a plain reading of the law in no way guarantees that anti-discrimination law would “trump” the amended RFRA. </w:t>
      </w:r>
      <w:r w:rsidRPr="00C52659">
        <w:rPr>
          <w:rFonts w:ascii="Palatino Linotype" w:eastAsia="Times New Roman" w:hAnsi="Palatino Linotype"/>
        </w:rPr>
        <w:t xml:space="preserve"> </w:t>
      </w:r>
    </w:p>
    <w:p w:rsidR="00832604" w:rsidRDefault="00A706C8" w:rsidP="007A1B20">
      <w:pPr>
        <w:pStyle w:val="ListParagraph"/>
        <w:numPr>
          <w:ilvl w:val="0"/>
          <w:numId w:val="1"/>
        </w:numPr>
        <w:rPr>
          <w:rFonts w:ascii="Palatino Linotype" w:hAnsi="Palatino Linotype" w:cstheme="minorBidi"/>
        </w:rPr>
      </w:pPr>
      <w:r>
        <w:rPr>
          <w:rFonts w:ascii="Palatino Linotype" w:hAnsi="Palatino Linotype" w:cstheme="minorBidi"/>
        </w:rPr>
        <w:t>Ex</w:t>
      </w:r>
      <w:r w:rsidR="00832604" w:rsidRPr="00832604">
        <w:rPr>
          <w:rFonts w:ascii="Palatino Linotype" w:hAnsi="Palatino Linotype" w:cstheme="minorBidi"/>
        </w:rPr>
        <w:t xml:space="preserve">amples of the kind of discrimination that </w:t>
      </w:r>
      <w:r w:rsidR="00B81360">
        <w:rPr>
          <w:rFonts w:ascii="Palatino Linotype" w:hAnsi="Palatino Linotype" w:cstheme="minorBidi"/>
        </w:rPr>
        <w:t xml:space="preserve">are being cited include denying </w:t>
      </w:r>
      <w:r w:rsidR="00832604" w:rsidRPr="00832604">
        <w:rPr>
          <w:rFonts w:ascii="Palatino Linotype" w:hAnsi="Palatino Linotype" w:cstheme="minorBidi"/>
        </w:rPr>
        <w:t>public accommodation services</w:t>
      </w:r>
      <w:r>
        <w:rPr>
          <w:rFonts w:ascii="Palatino Linotype" w:hAnsi="Palatino Linotype" w:cstheme="minorBidi"/>
        </w:rPr>
        <w:t xml:space="preserve"> (such as refusing to rent a motel room to a gay </w:t>
      </w:r>
      <w:r>
        <w:rPr>
          <w:rFonts w:ascii="Palatino Linotype" w:hAnsi="Palatino Linotype" w:cstheme="minorBidi"/>
        </w:rPr>
        <w:lastRenderedPageBreak/>
        <w:t>couple</w:t>
      </w:r>
      <w:r w:rsidR="00B81360">
        <w:rPr>
          <w:rFonts w:ascii="Palatino Linotype" w:hAnsi="Palatino Linotype" w:cstheme="minorBidi"/>
        </w:rPr>
        <w:t xml:space="preserve"> or to an unmarried couple</w:t>
      </w:r>
      <w:r>
        <w:rPr>
          <w:rFonts w:ascii="Palatino Linotype" w:hAnsi="Palatino Linotype" w:cstheme="minorBidi"/>
        </w:rPr>
        <w:t>)</w:t>
      </w:r>
      <w:r w:rsidR="00832604" w:rsidRPr="00832604">
        <w:rPr>
          <w:rFonts w:ascii="Palatino Linotype" w:hAnsi="Palatino Linotype" w:cstheme="minorBidi"/>
        </w:rPr>
        <w:t xml:space="preserve">, </w:t>
      </w:r>
      <w:r w:rsidR="00C64645" w:rsidRPr="00832604">
        <w:rPr>
          <w:rFonts w:ascii="Palatino Linotype" w:hAnsi="Palatino Linotype" w:cstheme="minorBidi"/>
        </w:rPr>
        <w:t>discrimination in hiring</w:t>
      </w:r>
      <w:r>
        <w:rPr>
          <w:rFonts w:ascii="Palatino Linotype" w:hAnsi="Palatino Linotype" w:cstheme="minorBidi"/>
        </w:rPr>
        <w:t xml:space="preserve"> (if ones religion says that women should be in the home not in the workplace) </w:t>
      </w:r>
      <w:r w:rsidR="00C64645" w:rsidRPr="00832604">
        <w:rPr>
          <w:rFonts w:ascii="Palatino Linotype" w:hAnsi="Palatino Linotype" w:cstheme="minorBidi"/>
        </w:rPr>
        <w:t xml:space="preserve">, </w:t>
      </w:r>
      <w:r w:rsidR="00832604" w:rsidRPr="00832604">
        <w:rPr>
          <w:rFonts w:ascii="Palatino Linotype" w:hAnsi="Palatino Linotype" w:cstheme="minorBidi"/>
        </w:rPr>
        <w:t>salary differentials</w:t>
      </w:r>
      <w:r>
        <w:rPr>
          <w:rFonts w:ascii="Palatino Linotype" w:hAnsi="Palatino Linotype" w:cstheme="minorBidi"/>
        </w:rPr>
        <w:t xml:space="preserve"> (if a religion says that men should make more than women)</w:t>
      </w:r>
      <w:r w:rsidR="00832604" w:rsidRPr="00832604">
        <w:rPr>
          <w:rFonts w:ascii="Palatino Linotype" w:hAnsi="Palatino Linotype" w:cstheme="minorBidi"/>
        </w:rPr>
        <w:t xml:space="preserve">, </w:t>
      </w:r>
      <w:r w:rsidR="00B57604">
        <w:rPr>
          <w:rFonts w:ascii="Palatino Linotype" w:hAnsi="Palatino Linotype" w:cstheme="minorBidi"/>
        </w:rPr>
        <w:t xml:space="preserve">and </w:t>
      </w:r>
      <w:r w:rsidR="00832604" w:rsidRPr="00832604">
        <w:rPr>
          <w:rFonts w:ascii="Palatino Linotype" w:hAnsi="Palatino Linotype" w:cstheme="minorBidi"/>
        </w:rPr>
        <w:t xml:space="preserve">discrimination in </w:t>
      </w:r>
      <w:r w:rsidR="00C64645" w:rsidRPr="00832604">
        <w:rPr>
          <w:rFonts w:ascii="Palatino Linotype" w:hAnsi="Palatino Linotype" w:cstheme="minorBidi"/>
        </w:rPr>
        <w:t>firing</w:t>
      </w:r>
      <w:r>
        <w:rPr>
          <w:rFonts w:ascii="Palatino Linotype" w:hAnsi="Palatino Linotype" w:cstheme="minorBidi"/>
        </w:rPr>
        <w:t xml:space="preserve"> (firing a married person who is having an affair if </w:t>
      </w:r>
      <w:r w:rsidR="00C52659">
        <w:rPr>
          <w:rFonts w:ascii="Palatino Linotype" w:hAnsi="Palatino Linotype" w:cstheme="minorBidi"/>
        </w:rPr>
        <w:t xml:space="preserve"> the business’ </w:t>
      </w:r>
      <w:r>
        <w:rPr>
          <w:rFonts w:ascii="Palatino Linotype" w:hAnsi="Palatino Linotype" w:cstheme="minorBidi"/>
        </w:rPr>
        <w:t>religious belief is that adultery is wrong)</w:t>
      </w:r>
      <w:r w:rsidR="00832604" w:rsidRPr="00832604">
        <w:rPr>
          <w:rFonts w:ascii="Palatino Linotype" w:hAnsi="Palatino Linotype" w:cstheme="minorBidi"/>
        </w:rPr>
        <w:t xml:space="preserve">. </w:t>
      </w:r>
    </w:p>
    <w:p w:rsidR="007A1B20" w:rsidRPr="00B81360" w:rsidRDefault="00832604" w:rsidP="000376B6">
      <w:pPr>
        <w:pStyle w:val="ListParagraph"/>
        <w:numPr>
          <w:ilvl w:val="0"/>
          <w:numId w:val="1"/>
        </w:numPr>
        <w:rPr>
          <w:rFonts w:ascii="Palatino Linotype" w:hAnsi="Palatino Linotype" w:cstheme="minorBidi"/>
        </w:rPr>
      </w:pPr>
      <w:r w:rsidRPr="00B81360">
        <w:rPr>
          <w:rFonts w:ascii="Palatino Linotype" w:hAnsi="Palatino Linotype" w:cstheme="minorBidi"/>
        </w:rPr>
        <w:t xml:space="preserve">At the hearing January 17, Sen. Yarbrough argued that the bill would protect a person from infringement on their religion if they were offering a service that could easily be found elsewhere.  He was less direct about the scope of the law if there were no other service provider.  Opponents, Sen. Hobbs specifically, argued that the discrimination constituted harm even if there was another service available.  </w:t>
      </w:r>
    </w:p>
    <w:p w:rsidR="00110C21" w:rsidRPr="00110C21" w:rsidRDefault="000376B6" w:rsidP="000376B6">
      <w:pPr>
        <w:pStyle w:val="ListParagraph"/>
        <w:numPr>
          <w:ilvl w:val="0"/>
          <w:numId w:val="1"/>
        </w:numPr>
        <w:rPr>
          <w:rFonts w:ascii="Palatino Linotype" w:hAnsi="Palatino Linotype" w:cstheme="minorBidi"/>
        </w:rPr>
      </w:pPr>
      <w:r w:rsidRPr="00B81360">
        <w:rPr>
          <w:rFonts w:ascii="Palatino Linotype" w:hAnsi="Palatino Linotype" w:cstheme="minorBidi"/>
        </w:rPr>
        <w:t>The</w:t>
      </w:r>
      <w:r w:rsidRPr="00B81360">
        <w:rPr>
          <w:rFonts w:ascii="Palatino Linotype" w:hAnsi="Palatino Linotype" w:cstheme="minorBidi"/>
          <w:i/>
        </w:rPr>
        <w:t xml:space="preserve"> </w:t>
      </w:r>
      <w:r w:rsidRPr="00B81360">
        <w:rPr>
          <w:rFonts w:ascii="Palatino Linotype" w:hAnsi="Palatino Linotype"/>
          <w:i/>
        </w:rPr>
        <w:t xml:space="preserve">Arizona Republic </w:t>
      </w:r>
      <w:r w:rsidRPr="00B81360">
        <w:rPr>
          <w:rFonts w:ascii="Palatino Linotype" w:hAnsi="Palatino Linotype"/>
        </w:rPr>
        <w:t xml:space="preserve">lead editorial (Friday, Jan. 24), opposed the legislation as seeking to fix a problem that doesn’t exist and a “bad law.” </w:t>
      </w:r>
      <w:r w:rsidR="0099700E" w:rsidRPr="00B81360">
        <w:rPr>
          <w:rFonts w:ascii="Palatino Linotype" w:hAnsi="Palatino Linotype"/>
        </w:rPr>
        <w:t xml:space="preserve"> The</w:t>
      </w:r>
      <w:r w:rsidR="0099700E" w:rsidRPr="00B81360">
        <w:rPr>
          <w:rFonts w:ascii="Palatino Linotype" w:hAnsi="Palatino Linotype"/>
          <w:i/>
        </w:rPr>
        <w:t xml:space="preserve"> Republic </w:t>
      </w:r>
      <w:r w:rsidR="0099700E" w:rsidRPr="00B81360">
        <w:rPr>
          <w:rFonts w:ascii="Palatino Linotype" w:hAnsi="Palatino Linotype"/>
        </w:rPr>
        <w:t xml:space="preserve">also opposed it again in an editorial </w:t>
      </w:r>
      <w:r w:rsidR="00110C21" w:rsidRPr="00B81360">
        <w:rPr>
          <w:rFonts w:ascii="Palatino Linotype" w:hAnsi="Palatino Linotype"/>
        </w:rPr>
        <w:t xml:space="preserve">Feb. 4.  </w:t>
      </w:r>
      <w:r w:rsidRPr="00B81360">
        <w:rPr>
          <w:rFonts w:ascii="Palatino Linotype" w:hAnsi="Palatino Linotype"/>
        </w:rPr>
        <w:t xml:space="preserve"> They mentioned bakers, photographers, and others in Oregon and Colorado who claimed that serving same-sex couples in marriage ceremonies infringed on their religion. </w:t>
      </w:r>
      <w:r w:rsidR="0099700E" w:rsidRPr="00B81360">
        <w:rPr>
          <w:rFonts w:ascii="Palatino Linotype" w:hAnsi="Palatino Linotype"/>
        </w:rPr>
        <w:t xml:space="preserve"> </w:t>
      </w:r>
      <w:r w:rsidR="0099700E" w:rsidRPr="00B81360">
        <w:rPr>
          <w:rFonts w:ascii="Palatino Linotype" w:hAnsi="Palatino Linotype" w:cstheme="minorBidi"/>
        </w:rPr>
        <w:t xml:space="preserve"> </w:t>
      </w:r>
    </w:p>
    <w:p w:rsidR="0036042B" w:rsidRDefault="0036042B" w:rsidP="007A1B20">
      <w:pPr>
        <w:pStyle w:val="ListParagraph"/>
        <w:rPr>
          <w:rFonts w:ascii="Palatino Linotype" w:hAnsi="Palatino Linotype" w:cstheme="minorBidi"/>
        </w:rPr>
      </w:pPr>
    </w:p>
    <w:p w:rsidR="005E2ECD" w:rsidRPr="0036042B" w:rsidRDefault="007A1B20" w:rsidP="007A1B20">
      <w:pPr>
        <w:pStyle w:val="ListParagraph"/>
        <w:rPr>
          <w:rFonts w:ascii="Palatino Linotype" w:hAnsi="Palatino Linotype" w:cstheme="minorBidi"/>
        </w:rPr>
      </w:pPr>
      <w:r w:rsidRPr="0036042B">
        <w:rPr>
          <w:rFonts w:ascii="Palatino Linotype" w:hAnsi="Palatino Linotype" w:cstheme="minorBidi"/>
        </w:rPr>
        <w:t>T</w:t>
      </w:r>
      <w:r w:rsidR="005D10FE" w:rsidRPr="0036042B">
        <w:rPr>
          <w:rFonts w:ascii="Palatino Linotype" w:hAnsi="Palatino Linotype" w:cstheme="minorBidi"/>
        </w:rPr>
        <w:t>he Arizona law</w:t>
      </w:r>
      <w:r w:rsidRPr="0036042B">
        <w:rPr>
          <w:rFonts w:ascii="Palatino Linotype" w:hAnsi="Palatino Linotype" w:cstheme="minorBidi"/>
        </w:rPr>
        <w:t xml:space="preserve">, if amended, </w:t>
      </w:r>
      <w:r w:rsidR="005D10FE" w:rsidRPr="0036042B">
        <w:rPr>
          <w:rFonts w:ascii="Palatino Linotype" w:hAnsi="Palatino Linotype" w:cstheme="minorBidi"/>
        </w:rPr>
        <w:t xml:space="preserve">could be a step in a new direction even for states that have RFRAs in that it attempts to make claims of infringement broader and more likely to stand up in court even when the government is not a party to the case, and by </w:t>
      </w:r>
      <w:r w:rsidR="005E2ECD" w:rsidRPr="0036042B">
        <w:rPr>
          <w:rFonts w:ascii="Palatino Linotype" w:hAnsi="Palatino Linotype" w:cstheme="minorBidi"/>
        </w:rPr>
        <w:t xml:space="preserve">expanding who can </w:t>
      </w:r>
      <w:r w:rsidR="00B57604" w:rsidRPr="0036042B">
        <w:rPr>
          <w:rFonts w:ascii="Palatino Linotype" w:hAnsi="Palatino Linotype" w:cstheme="minorBidi"/>
        </w:rPr>
        <w:t xml:space="preserve">use religious infringement defense when engaged in discriminatory activity. </w:t>
      </w:r>
      <w:r w:rsidR="005E2ECD" w:rsidRPr="0036042B">
        <w:rPr>
          <w:rFonts w:ascii="Palatino Linotype" w:hAnsi="Palatino Linotype" w:cstheme="minorBidi"/>
        </w:rPr>
        <w:t xml:space="preserve"> </w:t>
      </w:r>
      <w:r w:rsidR="005D10FE" w:rsidRPr="0036042B">
        <w:rPr>
          <w:rFonts w:ascii="Palatino Linotype" w:hAnsi="Palatino Linotype" w:cstheme="minorBidi"/>
        </w:rPr>
        <w:t xml:space="preserve">  </w:t>
      </w:r>
    </w:p>
    <w:p w:rsidR="000C08AF" w:rsidRPr="00832604" w:rsidRDefault="000C08AF" w:rsidP="000C08AF">
      <w:pPr>
        <w:rPr>
          <w:rFonts w:ascii="Palatino Linotype" w:hAnsi="Palatino Linotype"/>
        </w:rPr>
      </w:pPr>
      <w:r w:rsidRPr="00832604">
        <w:rPr>
          <w:rFonts w:ascii="Palatino Linotype" w:hAnsi="Palatino Linotype"/>
        </w:rPr>
        <w:t xml:space="preserve">Here’s some useful links:  </w:t>
      </w:r>
    </w:p>
    <w:p w:rsidR="000C08AF" w:rsidRDefault="000C08AF" w:rsidP="000C08AF">
      <w:pPr>
        <w:rPr>
          <w:rFonts w:ascii="Palatino Linotype" w:hAnsi="Palatino Linotype"/>
        </w:rPr>
      </w:pPr>
      <w:r w:rsidRPr="00832604">
        <w:rPr>
          <w:rFonts w:ascii="Palatino Linotype" w:hAnsi="Palatino Linotype"/>
        </w:rPr>
        <w:t xml:space="preserve">Video of the </w:t>
      </w:r>
      <w:r>
        <w:rPr>
          <w:rFonts w:ascii="Palatino Linotype" w:hAnsi="Palatino Linotype"/>
        </w:rPr>
        <w:t xml:space="preserve">House hearing </w:t>
      </w:r>
      <w:hyperlink r:id="rId8" w:history="1">
        <w:r w:rsidRPr="006D495D">
          <w:rPr>
            <w:rStyle w:val="Hyperlink"/>
            <w:rFonts w:ascii="Palatino Linotype" w:hAnsi="Palatino Linotype"/>
          </w:rPr>
          <w:t>http://azleg.granicus.com/MediaPlayer.php?publish_id=8</w:t>
        </w:r>
      </w:hyperlink>
    </w:p>
    <w:p w:rsidR="000C08AF" w:rsidRPr="00832604" w:rsidRDefault="000C08AF" w:rsidP="000C08AF">
      <w:pPr>
        <w:rPr>
          <w:rFonts w:ascii="Palatino Linotype" w:hAnsi="Palatino Linotype"/>
        </w:rPr>
      </w:pPr>
      <w:r>
        <w:rPr>
          <w:rFonts w:ascii="Palatino Linotype" w:hAnsi="Palatino Linotype"/>
        </w:rPr>
        <w:t xml:space="preserve">Video of Senate </w:t>
      </w:r>
      <w:r w:rsidRPr="00832604">
        <w:rPr>
          <w:rFonts w:ascii="Palatino Linotype" w:hAnsi="Palatino Linotype"/>
        </w:rPr>
        <w:t xml:space="preserve">hearing: </w:t>
      </w:r>
      <w:hyperlink r:id="rId9" w:history="1">
        <w:r w:rsidRPr="00832604">
          <w:rPr>
            <w:rStyle w:val="Hyperlink"/>
            <w:rFonts w:ascii="Palatino Linotype" w:hAnsi="Palatino Linotype"/>
          </w:rPr>
          <w:t>http://azleg.granicus.com/MediaPlayer.php?view_id=13&amp;clip_id=13105</w:t>
        </w:r>
      </w:hyperlink>
      <w:r w:rsidRPr="00832604">
        <w:rPr>
          <w:rFonts w:ascii="Palatino Linotype" w:hAnsi="Palatino Linotype"/>
        </w:rPr>
        <w:t xml:space="preserve">  </w:t>
      </w:r>
    </w:p>
    <w:p w:rsidR="000C08AF" w:rsidRPr="00832604" w:rsidRDefault="000C08AF" w:rsidP="000C08AF">
      <w:pPr>
        <w:rPr>
          <w:rFonts w:ascii="Palatino Linotype" w:hAnsi="Palatino Linotype"/>
        </w:rPr>
      </w:pPr>
      <w:r w:rsidRPr="00832604">
        <w:rPr>
          <w:rFonts w:ascii="Palatino Linotype" w:hAnsi="Palatino Linotype"/>
        </w:rPr>
        <w:t xml:space="preserve">Copy of the bill </w:t>
      </w:r>
      <w:hyperlink r:id="rId10" w:history="1">
        <w:r w:rsidRPr="00832604">
          <w:rPr>
            <w:rStyle w:val="Hyperlink"/>
            <w:rFonts w:ascii="Palatino Linotype" w:hAnsi="Palatino Linotype"/>
          </w:rPr>
          <w:t>http://www.azleg.gov/legtext/51leg/2r/bills/sb1062p.pdf</w:t>
        </w:r>
      </w:hyperlink>
      <w:r w:rsidRPr="00832604">
        <w:rPr>
          <w:rFonts w:ascii="Palatino Linotype" w:hAnsi="Palatino Linotype"/>
        </w:rPr>
        <w:t xml:space="preserve">    </w:t>
      </w:r>
    </w:p>
    <w:p w:rsidR="000C08AF" w:rsidRPr="00832604" w:rsidRDefault="000C08AF" w:rsidP="000C08AF">
      <w:pPr>
        <w:rPr>
          <w:rStyle w:val="caps1"/>
          <w:rFonts w:ascii="Palatino Linotype" w:hAnsi="Palatino Linotype" w:cs="Arial"/>
          <w:sz w:val="24"/>
          <w:szCs w:val="24"/>
        </w:rPr>
      </w:pPr>
      <w:r w:rsidRPr="00832604">
        <w:rPr>
          <w:rFonts w:ascii="Palatino Linotype" w:hAnsi="Palatino Linotype"/>
        </w:rPr>
        <w:t xml:space="preserve">Background story by Howard Fischer </w:t>
      </w:r>
      <w:hyperlink r:id="rId11" w:history="1">
        <w:r w:rsidRPr="006D495D">
          <w:rPr>
            <w:rStyle w:val="Hyperlink"/>
            <w:rFonts w:ascii="Palatino Linotype" w:hAnsi="Palatino Linotype" w:cs="Arial"/>
          </w:rPr>
          <w:t>http://www.svherald.com/print/365889</w:t>
        </w:r>
      </w:hyperlink>
      <w:r w:rsidRPr="00832604">
        <w:rPr>
          <w:rStyle w:val="caps1"/>
          <w:rFonts w:ascii="Palatino Linotype" w:hAnsi="Palatino Linotype" w:cs="Arial"/>
          <w:sz w:val="24"/>
          <w:szCs w:val="24"/>
        </w:rPr>
        <w:t xml:space="preserve">   </w:t>
      </w:r>
    </w:p>
    <w:p w:rsidR="005D10FE" w:rsidRPr="0036042B" w:rsidRDefault="005D10FE" w:rsidP="005D10FE">
      <w:pPr>
        <w:rPr>
          <w:rFonts w:asciiTheme="minorHAnsi" w:hAnsiTheme="minorHAnsi" w:cstheme="minorBidi"/>
          <w:color w:val="1F497D" w:themeColor="dark2"/>
        </w:rPr>
      </w:pPr>
    </w:p>
    <w:p w:rsidR="005D10FE" w:rsidRDefault="005D10FE" w:rsidP="005D10FE">
      <w:r>
        <w:t xml:space="preserve">This table is from Lund’s paper: </w:t>
      </w:r>
    </w:p>
    <w:p w:rsidR="005D10FE" w:rsidRDefault="005D10FE" w:rsidP="005D10FE"/>
    <w:p w:rsidR="005D10FE" w:rsidRDefault="005D10FE" w:rsidP="005D10FE"/>
    <w:p w:rsidR="005D10FE" w:rsidRDefault="005D10FE" w:rsidP="005D10FE">
      <w:pPr>
        <w:pStyle w:val="Default"/>
        <w:rPr>
          <w:sz w:val="22"/>
          <w:szCs w:val="22"/>
        </w:rPr>
      </w:pPr>
      <w:r>
        <w:rPr>
          <w:b/>
          <w:bCs/>
          <w:sz w:val="22"/>
          <w:szCs w:val="22"/>
        </w:rPr>
        <w:t xml:space="preserve">Table 1 </w:t>
      </w:r>
    </w:p>
    <w:tbl>
      <w:tblPr>
        <w:tblW w:w="0" w:type="auto"/>
        <w:tblLayout w:type="fixed"/>
        <w:tblLook w:val="04A0"/>
      </w:tblPr>
      <w:tblGrid>
        <w:gridCol w:w="2204"/>
        <w:gridCol w:w="2204"/>
        <w:gridCol w:w="2204"/>
      </w:tblGrid>
      <w:tr w:rsidR="005D10FE" w:rsidTr="005D10FE">
        <w:trPr>
          <w:trHeight w:val="107"/>
        </w:trPr>
        <w:tc>
          <w:tcPr>
            <w:tcW w:w="2204" w:type="dxa"/>
            <w:tcBorders>
              <w:top w:val="nil"/>
              <w:left w:val="nil"/>
              <w:bottom w:val="nil"/>
              <w:right w:val="nil"/>
            </w:tcBorders>
            <w:hideMark/>
          </w:tcPr>
          <w:p w:rsidR="005D10FE" w:rsidRDefault="005D10FE">
            <w:pPr>
              <w:pStyle w:val="Default"/>
              <w:rPr>
                <w:sz w:val="23"/>
                <w:szCs w:val="23"/>
              </w:rPr>
            </w:pPr>
            <w:r>
              <w:rPr>
                <w:sz w:val="22"/>
                <w:szCs w:val="22"/>
              </w:rPr>
              <w:t xml:space="preserve">67. </w:t>
            </w:r>
            <w:r>
              <w:rPr>
                <w:b/>
                <w:bCs/>
                <w:sz w:val="23"/>
                <w:szCs w:val="23"/>
              </w:rPr>
              <w:t xml:space="preserve">State </w:t>
            </w:r>
          </w:p>
        </w:tc>
        <w:tc>
          <w:tcPr>
            <w:tcW w:w="2204" w:type="dxa"/>
            <w:tcBorders>
              <w:top w:val="nil"/>
              <w:left w:val="nil"/>
              <w:bottom w:val="nil"/>
              <w:right w:val="nil"/>
            </w:tcBorders>
            <w:hideMark/>
          </w:tcPr>
          <w:p w:rsidR="005D10FE" w:rsidRDefault="005D10FE">
            <w:pPr>
              <w:pStyle w:val="Default"/>
              <w:rPr>
                <w:sz w:val="23"/>
                <w:szCs w:val="23"/>
              </w:rPr>
            </w:pPr>
            <w:r>
              <w:rPr>
                <w:b/>
                <w:bCs/>
                <w:sz w:val="23"/>
                <w:szCs w:val="23"/>
              </w:rPr>
              <w:t xml:space="preserve">Year </w:t>
            </w:r>
          </w:p>
        </w:tc>
        <w:tc>
          <w:tcPr>
            <w:tcW w:w="2204" w:type="dxa"/>
            <w:tcBorders>
              <w:top w:val="nil"/>
              <w:left w:val="nil"/>
              <w:bottom w:val="nil"/>
              <w:right w:val="nil"/>
            </w:tcBorders>
            <w:hideMark/>
          </w:tcPr>
          <w:p w:rsidR="005D10FE" w:rsidRDefault="005D10FE">
            <w:pPr>
              <w:pStyle w:val="Default"/>
              <w:rPr>
                <w:sz w:val="23"/>
                <w:szCs w:val="23"/>
              </w:rPr>
            </w:pPr>
            <w:r>
              <w:rPr>
                <w:b/>
                <w:bCs/>
                <w:sz w:val="23"/>
                <w:szCs w:val="23"/>
              </w:rPr>
              <w:t xml:space="preserve">Required Threshold Showing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Connecticut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1993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Florida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1998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Illinois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1998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Rhode Island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1998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Restrictions on Religious Liberty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Alabama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1999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Arizona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1999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South Carolina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1999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Texas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1999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lastRenderedPageBreak/>
              <w:t xml:space="preserve">Idaho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2000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New Mexico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2000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Restrictions on Religious Liberty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Oklahoma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2000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Pennsylvania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2002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Missouri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2004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Restrictions on Religious Liberty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Virginia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2007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Utah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2008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r w:rsidR="005D10FE" w:rsidTr="005D10FE">
        <w:trPr>
          <w:trHeight w:val="109"/>
        </w:trPr>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Tennessee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2009 </w:t>
            </w:r>
          </w:p>
        </w:tc>
        <w:tc>
          <w:tcPr>
            <w:tcW w:w="2204" w:type="dxa"/>
            <w:tcBorders>
              <w:top w:val="nil"/>
              <w:left w:val="nil"/>
              <w:bottom w:val="nil"/>
              <w:right w:val="nil"/>
            </w:tcBorders>
            <w:hideMark/>
          </w:tcPr>
          <w:p w:rsidR="005D10FE" w:rsidRDefault="005D10FE">
            <w:pPr>
              <w:pStyle w:val="Default"/>
              <w:rPr>
                <w:sz w:val="23"/>
                <w:szCs w:val="23"/>
              </w:rPr>
            </w:pPr>
            <w:r>
              <w:rPr>
                <w:sz w:val="23"/>
                <w:szCs w:val="23"/>
              </w:rPr>
              <w:t xml:space="preserve">Substantial Burden </w:t>
            </w:r>
          </w:p>
        </w:tc>
      </w:tr>
    </w:tbl>
    <w:p w:rsidR="005D10FE" w:rsidRDefault="005D10FE" w:rsidP="005D10FE"/>
    <w:p w:rsidR="005D10FE" w:rsidRPr="007A1B20" w:rsidRDefault="005D10FE" w:rsidP="005D10FE">
      <w:pPr>
        <w:rPr>
          <w:rFonts w:ascii="Palatino Linotype" w:hAnsi="Palatino Linotype" w:cstheme="minorBidi"/>
          <w:color w:val="1F497D" w:themeColor="dark2"/>
        </w:rPr>
      </w:pPr>
    </w:p>
    <w:sectPr w:rsidR="005D10FE" w:rsidRPr="007A1B20" w:rsidSect="0036042B">
      <w:pgSz w:w="12240" w:h="163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
    <w:nsid w:val="685C65CA"/>
    <w:multiLevelType w:val="hybridMultilevel"/>
    <w:tmpl w:val="481E31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E365E69"/>
    <w:multiLevelType w:val="hybridMultilevel"/>
    <w:tmpl w:val="481E31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55617"/>
    <w:rsid w:val="00023AC3"/>
    <w:rsid w:val="000343F1"/>
    <w:rsid w:val="000376B6"/>
    <w:rsid w:val="0004175D"/>
    <w:rsid w:val="00056F91"/>
    <w:rsid w:val="00075FAE"/>
    <w:rsid w:val="000B3818"/>
    <w:rsid w:val="000B4230"/>
    <w:rsid w:val="000B4D49"/>
    <w:rsid w:val="000C08AF"/>
    <w:rsid w:val="000C0DE3"/>
    <w:rsid w:val="00110C21"/>
    <w:rsid w:val="00125898"/>
    <w:rsid w:val="00147CA9"/>
    <w:rsid w:val="00164953"/>
    <w:rsid w:val="00176B2C"/>
    <w:rsid w:val="0019476F"/>
    <w:rsid w:val="001A0BFC"/>
    <w:rsid w:val="001C0564"/>
    <w:rsid w:val="001F54AD"/>
    <w:rsid w:val="001F7B11"/>
    <w:rsid w:val="002665DF"/>
    <w:rsid w:val="00290959"/>
    <w:rsid w:val="002B468F"/>
    <w:rsid w:val="002B5A21"/>
    <w:rsid w:val="002B64A2"/>
    <w:rsid w:val="002E3532"/>
    <w:rsid w:val="002E7FFB"/>
    <w:rsid w:val="002F3FF7"/>
    <w:rsid w:val="00320A37"/>
    <w:rsid w:val="00330FE6"/>
    <w:rsid w:val="0036042B"/>
    <w:rsid w:val="00373794"/>
    <w:rsid w:val="00405759"/>
    <w:rsid w:val="00553516"/>
    <w:rsid w:val="0058533D"/>
    <w:rsid w:val="00587209"/>
    <w:rsid w:val="005B742F"/>
    <w:rsid w:val="005D10FE"/>
    <w:rsid w:val="005D20FB"/>
    <w:rsid w:val="005D3156"/>
    <w:rsid w:val="005D5D46"/>
    <w:rsid w:val="005E0905"/>
    <w:rsid w:val="005E2ECD"/>
    <w:rsid w:val="00604FC0"/>
    <w:rsid w:val="00632B34"/>
    <w:rsid w:val="00650AC4"/>
    <w:rsid w:val="00690E2F"/>
    <w:rsid w:val="006E25EB"/>
    <w:rsid w:val="006F3D19"/>
    <w:rsid w:val="007002CE"/>
    <w:rsid w:val="00731367"/>
    <w:rsid w:val="00732001"/>
    <w:rsid w:val="0073474D"/>
    <w:rsid w:val="00741AAF"/>
    <w:rsid w:val="00765F02"/>
    <w:rsid w:val="00770368"/>
    <w:rsid w:val="007712FA"/>
    <w:rsid w:val="0079084F"/>
    <w:rsid w:val="007A1B20"/>
    <w:rsid w:val="007A3D93"/>
    <w:rsid w:val="007C1724"/>
    <w:rsid w:val="007C6190"/>
    <w:rsid w:val="00804F24"/>
    <w:rsid w:val="00824C61"/>
    <w:rsid w:val="00832604"/>
    <w:rsid w:val="00844333"/>
    <w:rsid w:val="008618D8"/>
    <w:rsid w:val="008A689F"/>
    <w:rsid w:val="008C1F90"/>
    <w:rsid w:val="008F4900"/>
    <w:rsid w:val="00901AFB"/>
    <w:rsid w:val="0090512D"/>
    <w:rsid w:val="00907EA4"/>
    <w:rsid w:val="009107C1"/>
    <w:rsid w:val="00914463"/>
    <w:rsid w:val="00916E8E"/>
    <w:rsid w:val="00917D0E"/>
    <w:rsid w:val="00946EB7"/>
    <w:rsid w:val="0094700A"/>
    <w:rsid w:val="00955617"/>
    <w:rsid w:val="00962490"/>
    <w:rsid w:val="00987633"/>
    <w:rsid w:val="0099700E"/>
    <w:rsid w:val="009B5857"/>
    <w:rsid w:val="009D12BE"/>
    <w:rsid w:val="00A179C3"/>
    <w:rsid w:val="00A22A1C"/>
    <w:rsid w:val="00A706C8"/>
    <w:rsid w:val="00A81BE6"/>
    <w:rsid w:val="00A82522"/>
    <w:rsid w:val="00A82897"/>
    <w:rsid w:val="00A94468"/>
    <w:rsid w:val="00AD4561"/>
    <w:rsid w:val="00B1434F"/>
    <w:rsid w:val="00B52296"/>
    <w:rsid w:val="00B57604"/>
    <w:rsid w:val="00B64E7C"/>
    <w:rsid w:val="00B81360"/>
    <w:rsid w:val="00BF6F10"/>
    <w:rsid w:val="00C52659"/>
    <w:rsid w:val="00C55B9A"/>
    <w:rsid w:val="00C57686"/>
    <w:rsid w:val="00C64645"/>
    <w:rsid w:val="00C73C41"/>
    <w:rsid w:val="00C86F3B"/>
    <w:rsid w:val="00D33680"/>
    <w:rsid w:val="00D45197"/>
    <w:rsid w:val="00D51162"/>
    <w:rsid w:val="00D62562"/>
    <w:rsid w:val="00D879E4"/>
    <w:rsid w:val="00DD13F3"/>
    <w:rsid w:val="00E1561E"/>
    <w:rsid w:val="00E17164"/>
    <w:rsid w:val="00E56564"/>
    <w:rsid w:val="00E82DD5"/>
    <w:rsid w:val="00E95982"/>
    <w:rsid w:val="00EB0561"/>
    <w:rsid w:val="00ED4EAC"/>
    <w:rsid w:val="00EE3856"/>
    <w:rsid w:val="00EE72CE"/>
    <w:rsid w:val="00F02C34"/>
    <w:rsid w:val="00F24F3B"/>
    <w:rsid w:val="00F5710A"/>
    <w:rsid w:val="00F73A83"/>
    <w:rsid w:val="00FD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 w:eastAsiaTheme="minorHAnsi" w:hAnsi="TimesNew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1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617"/>
    <w:rPr>
      <w:color w:val="0000FF"/>
      <w:u w:val="single"/>
    </w:rPr>
  </w:style>
  <w:style w:type="paragraph" w:styleId="ListParagraph">
    <w:name w:val="List Paragraph"/>
    <w:basedOn w:val="Normal"/>
    <w:uiPriority w:val="34"/>
    <w:qFormat/>
    <w:rsid w:val="00955617"/>
    <w:pPr>
      <w:ind w:left="720"/>
    </w:pPr>
  </w:style>
  <w:style w:type="paragraph" w:customStyle="1" w:styleId="Default">
    <w:name w:val="Default"/>
    <w:rsid w:val="00955617"/>
    <w:pPr>
      <w:autoSpaceDE w:val="0"/>
      <w:autoSpaceDN w:val="0"/>
      <w:adjustRightInd w:val="0"/>
    </w:pPr>
    <w:rPr>
      <w:rFonts w:ascii="Times New Roman" w:hAnsi="Times New Roman"/>
      <w:color w:val="000000"/>
    </w:rPr>
  </w:style>
  <w:style w:type="character" w:styleId="FollowedHyperlink">
    <w:name w:val="FollowedHyperlink"/>
    <w:basedOn w:val="DefaultParagraphFont"/>
    <w:uiPriority w:val="99"/>
    <w:semiHidden/>
    <w:unhideWhenUsed/>
    <w:rsid w:val="00C64645"/>
    <w:rPr>
      <w:color w:val="800080" w:themeColor="followedHyperlink"/>
      <w:u w:val="single"/>
    </w:rPr>
  </w:style>
  <w:style w:type="character" w:customStyle="1" w:styleId="caps1">
    <w:name w:val="caps1"/>
    <w:basedOn w:val="DefaultParagraphFont"/>
    <w:rsid w:val="00832604"/>
    <w:rPr>
      <w:sz w:val="22"/>
      <w:szCs w:val="22"/>
    </w:rPr>
  </w:style>
  <w:style w:type="paragraph" w:customStyle="1" w:styleId="Quotation2Numbered">
    <w:name w:val="Quotation 2 Numbered"/>
    <w:basedOn w:val="Normal"/>
    <w:link w:val="Quotation2NumberedChar"/>
    <w:rsid w:val="000376B6"/>
    <w:pPr>
      <w:numPr>
        <w:numId w:val="2"/>
      </w:numPr>
      <w:spacing w:before="240" w:after="120"/>
    </w:pPr>
    <w:rPr>
      <w:rFonts w:ascii="Verdana" w:eastAsia="Times New Roman" w:hAnsi="Verdana"/>
      <w:i/>
      <w:color w:val="506280"/>
      <w:sz w:val="18"/>
    </w:rPr>
  </w:style>
  <w:style w:type="character" w:customStyle="1" w:styleId="Quotation2NumberedChar">
    <w:name w:val="Quotation 2 Numbered Char"/>
    <w:basedOn w:val="DefaultParagraphFont"/>
    <w:link w:val="Quotation2Numbered"/>
    <w:rsid w:val="000376B6"/>
    <w:rPr>
      <w:rFonts w:ascii="Verdana" w:eastAsia="Times New Roman" w:hAnsi="Verdana"/>
      <w:i/>
      <w:color w:val="506280"/>
      <w:sz w:val="18"/>
    </w:rPr>
  </w:style>
  <w:style w:type="character" w:customStyle="1" w:styleId="il">
    <w:name w:val="il"/>
    <w:basedOn w:val="DefaultParagraphFont"/>
    <w:rsid w:val="00FD3EE7"/>
  </w:style>
</w:styles>
</file>

<file path=word/webSettings.xml><?xml version="1.0" encoding="utf-8"?>
<w:webSettings xmlns:r="http://schemas.openxmlformats.org/officeDocument/2006/relationships" xmlns:w="http://schemas.openxmlformats.org/wordprocessingml/2006/main">
  <w:divs>
    <w:div w:id="909463485">
      <w:bodyDiv w:val="1"/>
      <w:marLeft w:val="0"/>
      <w:marRight w:val="0"/>
      <w:marTop w:val="0"/>
      <w:marBottom w:val="0"/>
      <w:divBdr>
        <w:top w:val="none" w:sz="0" w:space="0" w:color="auto"/>
        <w:left w:val="none" w:sz="0" w:space="0" w:color="auto"/>
        <w:bottom w:val="none" w:sz="0" w:space="0" w:color="auto"/>
        <w:right w:val="none" w:sz="0" w:space="0" w:color="auto"/>
      </w:divBdr>
    </w:div>
    <w:div w:id="1762918444">
      <w:bodyDiv w:val="1"/>
      <w:marLeft w:val="0"/>
      <w:marRight w:val="0"/>
      <w:marTop w:val="0"/>
      <w:marBottom w:val="0"/>
      <w:divBdr>
        <w:top w:val="none" w:sz="0" w:space="0" w:color="auto"/>
        <w:left w:val="none" w:sz="0" w:space="0" w:color="auto"/>
        <w:bottom w:val="none" w:sz="0" w:space="0" w:color="auto"/>
        <w:right w:val="none" w:sz="0" w:space="0" w:color="auto"/>
      </w:divBdr>
    </w:div>
    <w:div w:id="1891768724">
      <w:bodyDiv w:val="1"/>
      <w:marLeft w:val="0"/>
      <w:marRight w:val="0"/>
      <w:marTop w:val="0"/>
      <w:marBottom w:val="0"/>
      <w:divBdr>
        <w:top w:val="none" w:sz="0" w:space="0" w:color="auto"/>
        <w:left w:val="none" w:sz="0" w:space="0" w:color="auto"/>
        <w:bottom w:val="none" w:sz="0" w:space="0" w:color="auto"/>
        <w:right w:val="none" w:sz="0" w:space="0" w:color="auto"/>
      </w:divBdr>
      <w:divsChild>
        <w:div w:id="1565028319">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126197723">
                  <w:marLeft w:val="0"/>
                  <w:marRight w:val="0"/>
                  <w:marTop w:val="0"/>
                  <w:marBottom w:val="0"/>
                  <w:divBdr>
                    <w:top w:val="none" w:sz="0" w:space="0" w:color="auto"/>
                    <w:left w:val="none" w:sz="0" w:space="0" w:color="auto"/>
                    <w:bottom w:val="none" w:sz="0" w:space="0" w:color="auto"/>
                    <w:right w:val="none" w:sz="0" w:space="0" w:color="auto"/>
                  </w:divBdr>
                  <w:divsChild>
                    <w:div w:id="1042510658">
                      <w:marLeft w:val="0"/>
                      <w:marRight w:val="0"/>
                      <w:marTop w:val="0"/>
                      <w:marBottom w:val="0"/>
                      <w:divBdr>
                        <w:top w:val="none" w:sz="0" w:space="0" w:color="auto"/>
                        <w:left w:val="none" w:sz="0" w:space="0" w:color="auto"/>
                        <w:bottom w:val="none" w:sz="0" w:space="0" w:color="auto"/>
                        <w:right w:val="none" w:sz="0" w:space="0" w:color="auto"/>
                      </w:divBdr>
                      <w:divsChild>
                        <w:div w:id="1332562520">
                          <w:marLeft w:val="0"/>
                          <w:marRight w:val="0"/>
                          <w:marTop w:val="0"/>
                          <w:marBottom w:val="0"/>
                          <w:divBdr>
                            <w:top w:val="none" w:sz="0" w:space="0" w:color="auto"/>
                            <w:left w:val="none" w:sz="0" w:space="0" w:color="auto"/>
                            <w:bottom w:val="none" w:sz="0" w:space="0" w:color="auto"/>
                            <w:right w:val="none" w:sz="0" w:space="0" w:color="auto"/>
                          </w:divBdr>
                          <w:divsChild>
                            <w:div w:id="979774422">
                              <w:marLeft w:val="0"/>
                              <w:marRight w:val="0"/>
                              <w:marTop w:val="0"/>
                              <w:marBottom w:val="0"/>
                              <w:divBdr>
                                <w:top w:val="none" w:sz="0" w:space="0" w:color="auto"/>
                                <w:left w:val="none" w:sz="0" w:space="0" w:color="auto"/>
                                <w:bottom w:val="none" w:sz="0" w:space="0" w:color="auto"/>
                                <w:right w:val="none" w:sz="0" w:space="0" w:color="auto"/>
                              </w:divBdr>
                              <w:divsChild>
                                <w:div w:id="2025010741">
                                  <w:marLeft w:val="0"/>
                                  <w:marRight w:val="0"/>
                                  <w:marTop w:val="0"/>
                                  <w:marBottom w:val="0"/>
                                  <w:divBdr>
                                    <w:top w:val="none" w:sz="0" w:space="0" w:color="auto"/>
                                    <w:left w:val="none" w:sz="0" w:space="0" w:color="auto"/>
                                    <w:bottom w:val="none" w:sz="0" w:space="0" w:color="auto"/>
                                    <w:right w:val="none" w:sz="0" w:space="0" w:color="auto"/>
                                  </w:divBdr>
                                  <w:divsChild>
                                    <w:div w:id="513230202">
                                      <w:marLeft w:val="0"/>
                                      <w:marRight w:val="0"/>
                                      <w:marTop w:val="0"/>
                                      <w:marBottom w:val="0"/>
                                      <w:divBdr>
                                        <w:top w:val="none" w:sz="0" w:space="0" w:color="auto"/>
                                        <w:left w:val="none" w:sz="0" w:space="0" w:color="auto"/>
                                        <w:bottom w:val="none" w:sz="0" w:space="0" w:color="auto"/>
                                        <w:right w:val="none" w:sz="0" w:space="0" w:color="auto"/>
                                      </w:divBdr>
                                      <w:divsChild>
                                        <w:div w:id="1540318476">
                                          <w:marLeft w:val="0"/>
                                          <w:marRight w:val="0"/>
                                          <w:marTop w:val="0"/>
                                          <w:marBottom w:val="0"/>
                                          <w:divBdr>
                                            <w:top w:val="none" w:sz="0" w:space="0" w:color="auto"/>
                                            <w:left w:val="none" w:sz="0" w:space="0" w:color="auto"/>
                                            <w:bottom w:val="none" w:sz="0" w:space="0" w:color="auto"/>
                                            <w:right w:val="none" w:sz="0" w:space="0" w:color="auto"/>
                                          </w:divBdr>
                                          <w:divsChild>
                                            <w:div w:id="1032459421">
                                              <w:marLeft w:val="0"/>
                                              <w:marRight w:val="0"/>
                                              <w:marTop w:val="0"/>
                                              <w:marBottom w:val="0"/>
                                              <w:divBdr>
                                                <w:top w:val="none" w:sz="0" w:space="0" w:color="auto"/>
                                                <w:left w:val="none" w:sz="0" w:space="0" w:color="auto"/>
                                                <w:bottom w:val="none" w:sz="0" w:space="0" w:color="auto"/>
                                                <w:right w:val="none" w:sz="0" w:space="0" w:color="auto"/>
                                              </w:divBdr>
                                              <w:divsChild>
                                                <w:div w:id="337080112">
                                                  <w:marLeft w:val="0"/>
                                                  <w:marRight w:val="0"/>
                                                  <w:marTop w:val="0"/>
                                                  <w:marBottom w:val="0"/>
                                                  <w:divBdr>
                                                    <w:top w:val="none" w:sz="0" w:space="0" w:color="auto"/>
                                                    <w:left w:val="none" w:sz="0" w:space="0" w:color="auto"/>
                                                    <w:bottom w:val="none" w:sz="0" w:space="0" w:color="auto"/>
                                                    <w:right w:val="none" w:sz="0" w:space="0" w:color="auto"/>
                                                  </w:divBdr>
                                                  <w:divsChild>
                                                    <w:div w:id="2061900942">
                                                      <w:marLeft w:val="0"/>
                                                      <w:marRight w:val="0"/>
                                                      <w:marTop w:val="0"/>
                                                      <w:marBottom w:val="0"/>
                                                      <w:divBdr>
                                                        <w:top w:val="none" w:sz="0" w:space="0" w:color="auto"/>
                                                        <w:left w:val="none" w:sz="0" w:space="0" w:color="auto"/>
                                                        <w:bottom w:val="none" w:sz="0" w:space="0" w:color="auto"/>
                                                        <w:right w:val="none" w:sz="0" w:space="0" w:color="auto"/>
                                                      </w:divBdr>
                                                      <w:divsChild>
                                                        <w:div w:id="1776747150">
                                                          <w:marLeft w:val="0"/>
                                                          <w:marRight w:val="0"/>
                                                          <w:marTop w:val="0"/>
                                                          <w:marBottom w:val="0"/>
                                                          <w:divBdr>
                                                            <w:top w:val="none" w:sz="0" w:space="0" w:color="auto"/>
                                                            <w:left w:val="none" w:sz="0" w:space="0" w:color="auto"/>
                                                            <w:bottom w:val="none" w:sz="0" w:space="0" w:color="auto"/>
                                                            <w:right w:val="none" w:sz="0" w:space="0" w:color="auto"/>
                                                          </w:divBdr>
                                                          <w:divsChild>
                                                            <w:div w:id="1145001559">
                                                              <w:marLeft w:val="0"/>
                                                              <w:marRight w:val="0"/>
                                                              <w:marTop w:val="0"/>
                                                              <w:marBottom w:val="0"/>
                                                              <w:divBdr>
                                                                <w:top w:val="none" w:sz="0" w:space="0" w:color="auto"/>
                                                                <w:left w:val="none" w:sz="0" w:space="0" w:color="auto"/>
                                                                <w:bottom w:val="none" w:sz="0" w:space="0" w:color="auto"/>
                                                                <w:right w:val="none" w:sz="0" w:space="0" w:color="auto"/>
                                                              </w:divBdr>
                                                              <w:divsChild>
                                                                <w:div w:id="1436440153">
                                                                  <w:marLeft w:val="0"/>
                                                                  <w:marRight w:val="0"/>
                                                                  <w:marTop w:val="0"/>
                                                                  <w:marBottom w:val="0"/>
                                                                  <w:divBdr>
                                                                    <w:top w:val="none" w:sz="0" w:space="0" w:color="auto"/>
                                                                    <w:left w:val="none" w:sz="0" w:space="0" w:color="auto"/>
                                                                    <w:bottom w:val="none" w:sz="0" w:space="0" w:color="auto"/>
                                                                    <w:right w:val="none" w:sz="0" w:space="0" w:color="auto"/>
                                                                  </w:divBdr>
                                                                  <w:divsChild>
                                                                    <w:div w:id="853763388">
                                                                      <w:marLeft w:val="0"/>
                                                                      <w:marRight w:val="0"/>
                                                                      <w:marTop w:val="0"/>
                                                                      <w:marBottom w:val="0"/>
                                                                      <w:divBdr>
                                                                        <w:top w:val="none" w:sz="0" w:space="0" w:color="auto"/>
                                                                        <w:left w:val="none" w:sz="0" w:space="0" w:color="auto"/>
                                                                        <w:bottom w:val="none" w:sz="0" w:space="0" w:color="auto"/>
                                                                        <w:right w:val="none" w:sz="0" w:space="0" w:color="auto"/>
                                                                      </w:divBdr>
                                                                      <w:divsChild>
                                                                        <w:div w:id="579026890">
                                                                          <w:marLeft w:val="0"/>
                                                                          <w:marRight w:val="0"/>
                                                                          <w:marTop w:val="0"/>
                                                                          <w:marBottom w:val="0"/>
                                                                          <w:divBdr>
                                                                            <w:top w:val="none" w:sz="0" w:space="0" w:color="auto"/>
                                                                            <w:left w:val="none" w:sz="0" w:space="0" w:color="auto"/>
                                                                            <w:bottom w:val="none" w:sz="0" w:space="0" w:color="auto"/>
                                                                            <w:right w:val="none" w:sz="0" w:space="0" w:color="auto"/>
                                                                          </w:divBdr>
                                                                          <w:divsChild>
                                                                            <w:div w:id="1388719885">
                                                                              <w:marLeft w:val="0"/>
                                                                              <w:marRight w:val="0"/>
                                                                              <w:marTop w:val="0"/>
                                                                              <w:marBottom w:val="0"/>
                                                                              <w:divBdr>
                                                                                <w:top w:val="none" w:sz="0" w:space="0" w:color="auto"/>
                                                                                <w:left w:val="none" w:sz="0" w:space="0" w:color="auto"/>
                                                                                <w:bottom w:val="none" w:sz="0" w:space="0" w:color="auto"/>
                                                                                <w:right w:val="none" w:sz="0" w:space="0" w:color="auto"/>
                                                                              </w:divBdr>
                                                                              <w:divsChild>
                                                                                <w:div w:id="496961148">
                                                                                  <w:marLeft w:val="0"/>
                                                                                  <w:marRight w:val="0"/>
                                                                                  <w:marTop w:val="0"/>
                                                                                  <w:marBottom w:val="0"/>
                                                                                  <w:divBdr>
                                                                                    <w:top w:val="none" w:sz="0" w:space="0" w:color="auto"/>
                                                                                    <w:left w:val="none" w:sz="0" w:space="0" w:color="auto"/>
                                                                                    <w:bottom w:val="none" w:sz="0" w:space="0" w:color="auto"/>
                                                                                    <w:right w:val="none" w:sz="0" w:space="0" w:color="auto"/>
                                                                                  </w:divBdr>
                                                                                  <w:divsChild>
                                                                                    <w:div w:id="1638803446">
                                                                                      <w:marLeft w:val="0"/>
                                                                                      <w:marRight w:val="0"/>
                                                                                      <w:marTop w:val="0"/>
                                                                                      <w:marBottom w:val="0"/>
                                                                                      <w:divBdr>
                                                                                        <w:top w:val="none" w:sz="0" w:space="0" w:color="auto"/>
                                                                                        <w:left w:val="none" w:sz="0" w:space="0" w:color="auto"/>
                                                                                        <w:bottom w:val="none" w:sz="0" w:space="0" w:color="auto"/>
                                                                                        <w:right w:val="none" w:sz="0" w:space="0" w:color="auto"/>
                                                                                      </w:divBdr>
                                                                                      <w:divsChild>
                                                                                        <w:div w:id="1625883761">
                                                                                          <w:marLeft w:val="0"/>
                                                                                          <w:marRight w:val="0"/>
                                                                                          <w:marTop w:val="0"/>
                                                                                          <w:marBottom w:val="0"/>
                                                                                          <w:divBdr>
                                                                                            <w:top w:val="none" w:sz="0" w:space="0" w:color="auto"/>
                                                                                            <w:left w:val="none" w:sz="0" w:space="0" w:color="auto"/>
                                                                                            <w:bottom w:val="none" w:sz="0" w:space="0" w:color="auto"/>
                                                                                            <w:right w:val="none" w:sz="0" w:space="0" w:color="auto"/>
                                                                                          </w:divBdr>
                                                                                          <w:divsChild>
                                                                                            <w:div w:id="1498837366">
                                                                                              <w:marLeft w:val="0"/>
                                                                                              <w:marRight w:val="0"/>
                                                                                              <w:marTop w:val="0"/>
                                                                                              <w:marBottom w:val="0"/>
                                                                                              <w:divBdr>
                                                                                                <w:top w:val="none" w:sz="0" w:space="0" w:color="auto"/>
                                                                                                <w:left w:val="none" w:sz="0" w:space="0" w:color="auto"/>
                                                                                                <w:bottom w:val="none" w:sz="0" w:space="0" w:color="auto"/>
                                                                                                <w:right w:val="none" w:sz="0" w:space="0" w:color="auto"/>
                                                                                              </w:divBdr>
                                                                                              <w:divsChild>
                                                                                                <w:div w:id="1702171258">
                                                                                                  <w:marLeft w:val="0"/>
                                                                                                  <w:marRight w:val="0"/>
                                                                                                  <w:marTop w:val="0"/>
                                                                                                  <w:marBottom w:val="0"/>
                                                                                                  <w:divBdr>
                                                                                                    <w:top w:val="none" w:sz="0" w:space="0" w:color="auto"/>
                                                                                                    <w:left w:val="none" w:sz="0" w:space="0" w:color="auto"/>
                                                                                                    <w:bottom w:val="none" w:sz="0" w:space="0" w:color="auto"/>
                                                                                                    <w:right w:val="none" w:sz="0" w:space="0" w:color="auto"/>
                                                                                                  </w:divBdr>
                                                                                                  <w:divsChild>
                                                                                                    <w:div w:id="273513450">
                                                                                                      <w:marLeft w:val="0"/>
                                                                                                      <w:marRight w:val="0"/>
                                                                                                      <w:marTop w:val="0"/>
                                                                                                      <w:marBottom w:val="0"/>
                                                                                                      <w:divBdr>
                                                                                                        <w:top w:val="none" w:sz="0" w:space="0" w:color="auto"/>
                                                                                                        <w:left w:val="none" w:sz="0" w:space="0" w:color="auto"/>
                                                                                                        <w:bottom w:val="none" w:sz="0" w:space="0" w:color="auto"/>
                                                                                                        <w:right w:val="none" w:sz="0" w:space="0" w:color="auto"/>
                                                                                                      </w:divBdr>
                                                                                                      <w:divsChild>
                                                                                                        <w:div w:id="1055659373">
                                                                                                          <w:marLeft w:val="0"/>
                                                                                                          <w:marRight w:val="0"/>
                                                                                                          <w:marTop w:val="0"/>
                                                                                                          <w:marBottom w:val="0"/>
                                                                                                          <w:divBdr>
                                                                                                            <w:top w:val="none" w:sz="0" w:space="0" w:color="auto"/>
                                                                                                            <w:left w:val="none" w:sz="0" w:space="0" w:color="auto"/>
                                                                                                            <w:bottom w:val="none" w:sz="0" w:space="0" w:color="auto"/>
                                                                                                            <w:right w:val="none" w:sz="0" w:space="0" w:color="auto"/>
                                                                                                          </w:divBdr>
                                                                                                          <w:divsChild>
                                                                                                            <w:div w:id="2137798468">
                                                                                                              <w:marLeft w:val="0"/>
                                                                                                              <w:marRight w:val="0"/>
                                                                                                              <w:marTop w:val="0"/>
                                                                                                              <w:marBottom w:val="0"/>
                                                                                                              <w:divBdr>
                                                                                                                <w:top w:val="none" w:sz="0" w:space="0" w:color="auto"/>
                                                                                                                <w:left w:val="none" w:sz="0" w:space="0" w:color="auto"/>
                                                                                                                <w:bottom w:val="none" w:sz="0" w:space="0" w:color="auto"/>
                                                                                                                <w:right w:val="none" w:sz="0" w:space="0" w:color="auto"/>
                                                                                                              </w:divBdr>
                                                                                                              <w:divsChild>
                                                                                                                <w:div w:id="318733371">
                                                                                                                  <w:marLeft w:val="0"/>
                                                                                                                  <w:marRight w:val="0"/>
                                                                                                                  <w:marTop w:val="0"/>
                                                                                                                  <w:marBottom w:val="0"/>
                                                                                                                  <w:divBdr>
                                                                                                                    <w:top w:val="none" w:sz="0" w:space="0" w:color="auto"/>
                                                                                                                    <w:left w:val="none" w:sz="0" w:space="0" w:color="auto"/>
                                                                                                                    <w:bottom w:val="none" w:sz="0" w:space="0" w:color="auto"/>
                                                                                                                    <w:right w:val="none" w:sz="0" w:space="0" w:color="auto"/>
                                                                                                                  </w:divBdr>
                                                                                                                  <w:divsChild>
                                                                                                                    <w:div w:id="1693990780">
                                                                                                                      <w:marLeft w:val="0"/>
                                                                                                                      <w:marRight w:val="0"/>
                                                                                                                      <w:marTop w:val="0"/>
                                                                                                                      <w:marBottom w:val="0"/>
                                                                                                                      <w:divBdr>
                                                                                                                        <w:top w:val="none" w:sz="0" w:space="0" w:color="auto"/>
                                                                                                                        <w:left w:val="none" w:sz="0" w:space="0" w:color="auto"/>
                                                                                                                        <w:bottom w:val="none" w:sz="0" w:space="0" w:color="auto"/>
                                                                                                                        <w:right w:val="none" w:sz="0" w:space="0" w:color="auto"/>
                                                                                                                      </w:divBdr>
                                                                                                                      <w:divsChild>
                                                                                                                        <w:div w:id="1320771673">
                                                                                                                          <w:marLeft w:val="0"/>
                                                                                                                          <w:marRight w:val="0"/>
                                                                                                                          <w:marTop w:val="0"/>
                                                                                                                          <w:marBottom w:val="0"/>
                                                                                                                          <w:divBdr>
                                                                                                                            <w:top w:val="none" w:sz="0" w:space="0" w:color="auto"/>
                                                                                                                            <w:left w:val="none" w:sz="0" w:space="0" w:color="auto"/>
                                                                                                                            <w:bottom w:val="none" w:sz="0" w:space="0" w:color="auto"/>
                                                                                                                            <w:right w:val="none" w:sz="0" w:space="0" w:color="auto"/>
                                                                                                                          </w:divBdr>
                                                                                                                          <w:divsChild>
                                                                                                                            <w:div w:id="2013138550">
                                                                                                                              <w:marLeft w:val="0"/>
                                                                                                                              <w:marRight w:val="0"/>
                                                                                                                              <w:marTop w:val="0"/>
                                                                                                                              <w:marBottom w:val="0"/>
                                                                                                                              <w:divBdr>
                                                                                                                                <w:top w:val="none" w:sz="0" w:space="0" w:color="auto"/>
                                                                                                                                <w:left w:val="none" w:sz="0" w:space="0" w:color="auto"/>
                                                                                                                                <w:bottom w:val="none" w:sz="0" w:space="0" w:color="auto"/>
                                                                                                                                <w:right w:val="none" w:sz="0" w:space="0" w:color="auto"/>
                                                                                                                              </w:divBdr>
                                                                                                                              <w:divsChild>
                                                                                                                                <w:div w:id="19976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leg.granicus.com/MediaPlayer.php?publish_id=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rginialawreview.org/content/pdfs/99/2/34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ers.ssrn.com/sol3/papers.cfm?abstract_id=1666268" TargetMode="External"/><Relationship Id="rId11" Type="http://schemas.openxmlformats.org/officeDocument/2006/relationships/hyperlink" Target="http://www.svherald.com/print/365889" TargetMode="External"/><Relationship Id="rId5" Type="http://schemas.openxmlformats.org/officeDocument/2006/relationships/hyperlink" Target="mailto:legislativeadvocacy@vuu.org" TargetMode="External"/><Relationship Id="rId10" Type="http://schemas.openxmlformats.org/officeDocument/2006/relationships/hyperlink" Target="http://www.azleg.gov/legtext/51leg/2r/bills/sb1062p.pdf" TargetMode="External"/><Relationship Id="rId4" Type="http://schemas.openxmlformats.org/officeDocument/2006/relationships/webSettings" Target="webSettings.xml"/><Relationship Id="rId9" Type="http://schemas.openxmlformats.org/officeDocument/2006/relationships/hyperlink" Target="http://azleg.granicus.com/MediaPlayer.php?view_id=13&amp;clip_id=13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Schneider</dc:creator>
  <cp:lastModifiedBy>Anne Schneider</cp:lastModifiedBy>
  <cp:revision>3</cp:revision>
  <cp:lastPrinted>2014-02-12T17:48:00Z</cp:lastPrinted>
  <dcterms:created xsi:type="dcterms:W3CDTF">2015-08-18T00:34:00Z</dcterms:created>
  <dcterms:modified xsi:type="dcterms:W3CDTF">2015-08-21T17:57:00Z</dcterms:modified>
</cp:coreProperties>
</file>